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7" w:rsidRDefault="00086D27" w:rsidP="00086D27">
      <w:pPr>
        <w:jc w:val="center"/>
        <w:rPr>
          <w:rFonts w:eastAsia="Times New Roman"/>
        </w:rPr>
      </w:pPr>
      <w:r>
        <w:rPr>
          <w:rStyle w:val="Pogrubienie"/>
          <w:rFonts w:ascii="Arial" w:eastAsia="Times New Roman" w:hAnsi="Arial" w:cs="Arial"/>
          <w:color w:val="FF0000"/>
        </w:rPr>
        <w:t>Nowe rozporządzenie KE nr 1407/2013 dotyczące pomocy de minimis a obowiązujące w okresie przejściowym programy pomocy de minimis</w:t>
      </w:r>
    </w:p>
    <w:p w:rsidR="00086D27" w:rsidRDefault="00086D27" w:rsidP="00086D27">
      <w:pPr>
        <w:jc w:val="both"/>
        <w:rPr>
          <w:rFonts w:eastAsia="Times New Roman"/>
        </w:rPr>
      </w:pPr>
    </w:p>
    <w:p w:rsidR="00086D27" w:rsidRDefault="00086D27" w:rsidP="00086D27">
      <w:pPr>
        <w:jc w:val="both"/>
        <w:rPr>
          <w:rFonts w:eastAsia="Times New Roman"/>
        </w:rPr>
      </w:pPr>
      <w:r>
        <w:rPr>
          <w:rFonts w:eastAsia="Times New Roman"/>
        </w:rPr>
        <w:t xml:space="preserve">W dniu 24 grudnia br. w Dzienniku Urzędowym UE L nr 352 zostało opublikowane nowe </w:t>
      </w:r>
      <w:r>
        <w:rPr>
          <w:rFonts w:eastAsia="Times New Roman"/>
          <w:b/>
          <w:bCs/>
        </w:rPr>
        <w:t>rozporządzenie Komisji (UE) nr 1407/2013 z dnia 18 grudnia 2013 r. w sprawie stosowania art. 107 i 108 Traktatu o funkcjonowaniu Unii Europejskiej do pomocy de minimis</w:t>
      </w:r>
      <w:r>
        <w:rPr>
          <w:rFonts w:eastAsia="Times New Roman"/>
        </w:rPr>
        <w:t xml:space="preserve">. Będzie ono obowiązywać od dnia 1 stycznia 2014 do dnia 31 grudnia 2020 r., przy czym w art. 7 ust. 4 przewidziano tradycyjnie, iż po upływie okresu obowiązywania tego rozporządzenia wszelkie programy de minimis spełniające warunki w nim określone pozostaną objęte tym rozporządzeniem przez kolejne 6 miesięcy (a zatem </w:t>
      </w:r>
      <w:r>
        <w:rPr>
          <w:rFonts w:eastAsia="Times New Roman"/>
          <w:i/>
          <w:iCs/>
        </w:rPr>
        <w:t>de facto</w:t>
      </w:r>
      <w:r>
        <w:rPr>
          <w:rFonts w:eastAsia="Times New Roman"/>
        </w:rPr>
        <w:t xml:space="preserve"> do 30 czerwca 2021 r.). </w:t>
      </w:r>
    </w:p>
    <w:p w:rsidR="00086D27" w:rsidRDefault="00086D27" w:rsidP="00086D27">
      <w:pPr>
        <w:jc w:val="both"/>
      </w:pPr>
      <w:r>
        <w:t> </w:t>
      </w:r>
    </w:p>
    <w:p w:rsidR="00086D27" w:rsidRDefault="00086D27" w:rsidP="00086D27">
      <w:pPr>
        <w:jc w:val="both"/>
      </w:pPr>
      <w:r>
        <w:t xml:space="preserve">W porównaniu do dotychczasowego rozporządzenia KE nr 1998/2006 wprowadza ono dość istotne zmiany (zasadniczo korzystne dla przedsiębiorców), tj. </w:t>
      </w:r>
    </w:p>
    <w:p w:rsidR="00086D27" w:rsidRDefault="00086D27" w:rsidP="00086D27">
      <w:pPr>
        <w:jc w:val="both"/>
      </w:pPr>
      <w:r>
        <w:t> </w:t>
      </w:r>
    </w:p>
    <w:p w:rsidR="00086D27" w:rsidRDefault="00086D27" w:rsidP="00086D27">
      <w:pPr>
        <w:jc w:val="both"/>
      </w:pPr>
      <w:r>
        <w:t>1)</w:t>
      </w:r>
      <w:r>
        <w:rPr>
          <w:sz w:val="14"/>
          <w:szCs w:val="14"/>
        </w:rPr>
        <w:t xml:space="preserve">     </w:t>
      </w:r>
      <w:r>
        <w:rPr>
          <w:u w:val="single"/>
        </w:rPr>
        <w:t>brak konieczności badania sytuacji ekonomicznej przedsiębiorcy</w:t>
      </w:r>
      <w:r>
        <w:t xml:space="preserve"> – co oznacza </w:t>
      </w:r>
      <w:r>
        <w:rPr>
          <w:i/>
          <w:iCs/>
        </w:rPr>
        <w:t>de facto</w:t>
      </w:r>
      <w:r>
        <w:t xml:space="preserve">, iż nawet przedsiębiorca będący w trudnej sytuacji ekonomicznej w rozumieniu Wytycznych na ratowanie i restrukturyzację od dnia 1 stycznia 2014 r. może skorzystać z pomocy de minimis, </w:t>
      </w:r>
    </w:p>
    <w:p w:rsidR="00086D27" w:rsidRDefault="00086D27" w:rsidP="00086D27">
      <w:pPr>
        <w:jc w:val="both"/>
      </w:pPr>
      <w:r>
        <w:t>2)</w:t>
      </w:r>
      <w:r>
        <w:rPr>
          <w:sz w:val="14"/>
          <w:szCs w:val="14"/>
        </w:rPr>
        <w:t xml:space="preserve">     </w:t>
      </w:r>
      <w:r>
        <w:rPr>
          <w:u w:val="single"/>
        </w:rPr>
        <w:t>zwiększenie pułapu pomocy de minimis dla przedsiębiorstw sektora drogowego transportu pasażerskiego</w:t>
      </w:r>
      <w:r>
        <w:t xml:space="preserve"> (ze 100 tys. EUR do 200 tys. EUR), </w:t>
      </w:r>
    </w:p>
    <w:p w:rsidR="00086D27" w:rsidRDefault="00086D27" w:rsidP="00086D27">
      <w:pPr>
        <w:jc w:val="both"/>
      </w:pPr>
      <w:r>
        <w:t>3)</w:t>
      </w:r>
      <w:r>
        <w:rPr>
          <w:sz w:val="14"/>
          <w:szCs w:val="14"/>
        </w:rPr>
        <w:t xml:space="preserve">     </w:t>
      </w:r>
      <w:r>
        <w:t xml:space="preserve">dopuszczenie </w:t>
      </w:r>
      <w:r>
        <w:rPr>
          <w:u w:val="single"/>
        </w:rPr>
        <w:t>pomocy de minimis dla sektora węglowego</w:t>
      </w:r>
      <w:r>
        <w:t xml:space="preserve">, </w:t>
      </w:r>
    </w:p>
    <w:p w:rsidR="00086D27" w:rsidRDefault="00086D27" w:rsidP="00086D27">
      <w:pPr>
        <w:jc w:val="both"/>
      </w:pPr>
      <w:r>
        <w:t>4)</w:t>
      </w:r>
      <w:r>
        <w:rPr>
          <w:sz w:val="14"/>
          <w:szCs w:val="14"/>
        </w:rPr>
        <w:t xml:space="preserve">     </w:t>
      </w:r>
      <w:r>
        <w:rPr>
          <w:u w:val="single"/>
        </w:rPr>
        <w:t>doprecyzowanie zasad dotyczących kumulacji pomocy</w:t>
      </w:r>
      <w:r>
        <w:t xml:space="preserve"> (w przypadku połączeń i przejęcia przedsiębiorstw, podziału przedsiębiorstwa na co najmniej dwa oddzielne podmioty, kumulacja pomocy w przypadku prowadzenia działalności w sektorach objętych różnymi limitami de minimis),</w:t>
      </w:r>
    </w:p>
    <w:p w:rsidR="00086D27" w:rsidRDefault="00086D27" w:rsidP="00086D27">
      <w:pPr>
        <w:jc w:val="both"/>
      </w:pPr>
      <w:r>
        <w:t>5)</w:t>
      </w:r>
      <w:r>
        <w:rPr>
          <w:sz w:val="14"/>
          <w:szCs w:val="14"/>
        </w:rPr>
        <w:t xml:space="preserve">     </w:t>
      </w:r>
      <w:r>
        <w:t xml:space="preserve">wprowadzenie </w:t>
      </w:r>
      <w:r>
        <w:rPr>
          <w:u w:val="single"/>
        </w:rPr>
        <w:t>definicji pojęcia pojedynczego przedsiębiorstwa</w:t>
      </w:r>
      <w:r>
        <w:t xml:space="preserve"> (tzw. pojedynczego organizmu gospodarczego). </w:t>
      </w:r>
    </w:p>
    <w:p w:rsidR="00086D27" w:rsidRDefault="00086D27" w:rsidP="00086D27">
      <w:pPr>
        <w:jc w:val="both"/>
      </w:pPr>
      <w:r>
        <w:t> </w:t>
      </w:r>
    </w:p>
    <w:p w:rsidR="00086D27" w:rsidRDefault="00086D27" w:rsidP="00086D27">
      <w:pPr>
        <w:jc w:val="both"/>
      </w:pPr>
      <w:r>
        <w:rPr>
          <w:spacing w:val="1"/>
        </w:rPr>
        <w:t xml:space="preserve">Należy jednocześnie zauważyć, że z art. 5 ust. 3 obowiązującego do dnia 31 grudnia 2013 r. rozporządzenia KE nr 1998/2006 wynika, iż po upływie okresu jego obowiązywania wszelkie środki pomocy de minimis spełniające warunki w nim określone </w:t>
      </w:r>
      <w:r>
        <w:rPr>
          <w:b/>
          <w:bCs/>
          <w:spacing w:val="1"/>
        </w:rPr>
        <w:t>można wdrażać w sposób prawomocny przez kolejne 6 miesięcy</w:t>
      </w:r>
      <w:r>
        <w:rPr>
          <w:spacing w:val="1"/>
        </w:rPr>
        <w:t xml:space="preserve">. Oznacza to zatem, że o ile okres danego programu pomocowego nie został jednoznacznie ograniczony do 31 grudnia 2013 r. i program w tym terminie nie wygaśnie, czy też program został przedłużony (np. w wyniku nowelizacji rozporządzenia) do dnia 30 czerwca 2014 r., można nadal na jego podstawie udzielać pomocy de minimis </w:t>
      </w:r>
      <w:r>
        <w:rPr>
          <w:spacing w:val="1"/>
          <w:u w:val="single"/>
        </w:rPr>
        <w:t>w oparciu o zasady z rozporządzenia KE nr 1998/2006</w:t>
      </w:r>
      <w:r>
        <w:rPr>
          <w:spacing w:val="1"/>
        </w:rPr>
        <w:t xml:space="preserve">, zaś przed dniem 30 czerwca 2014 r. konieczna będzie jego nowelizacja mająca na celu dostosowanie programu do nowych zasad, określonych w rozporządzeniu KE nr 1407/2013. W ocenie UOKiK z uwagi na dość późne przyjęcie przez KE nowego rozporządzenia (dopiero 18 grudnia br.), w Polsce funkcjonuje znaczna liczba programów de minimis korzystających z ww. okresu przejściowego. </w:t>
      </w:r>
    </w:p>
    <w:p w:rsidR="00086D27" w:rsidRDefault="00086D27" w:rsidP="00086D27">
      <w:pPr>
        <w:jc w:val="both"/>
      </w:pPr>
      <w:r>
        <w:t> </w:t>
      </w:r>
    </w:p>
    <w:p w:rsidR="00086D27" w:rsidRDefault="00086D27" w:rsidP="00086D27">
      <w:pPr>
        <w:jc w:val="both"/>
      </w:pPr>
      <w:r>
        <w:rPr>
          <w:spacing w:val="1"/>
        </w:rPr>
        <w:t xml:space="preserve">Co należy jednak wyraźnie podkreślić, konsekwencją zastosowania okresu przejściowego jest </w:t>
      </w:r>
      <w:r>
        <w:rPr>
          <w:spacing w:val="1"/>
          <w:u w:val="single"/>
        </w:rPr>
        <w:t>obowiązek bezwzględnego przestrzegania w ww. okresie zasad z rozporządzenia KE nr 1998/2006</w:t>
      </w:r>
      <w:r>
        <w:rPr>
          <w:spacing w:val="1"/>
        </w:rPr>
        <w:t xml:space="preserve"> pomimo faktu, iż zasady określone w nowym rozporządzeniu KE nr 1407/2013 będą </w:t>
      </w:r>
      <w:r>
        <w:rPr>
          <w:i/>
          <w:iCs/>
          <w:spacing w:val="1"/>
        </w:rPr>
        <w:t>de facto</w:t>
      </w:r>
      <w:r>
        <w:rPr>
          <w:spacing w:val="1"/>
        </w:rPr>
        <w:t xml:space="preserve"> korzystniejsze dla przedsiębiorców. Przykładowo więc, pomimo faktu zwiększenia w nowym rozporządzeniu KE limitu pomocy de minimis dla przedsiębiorstw sektora drogowego transportu pasażerskiego (do 200 tys. </w:t>
      </w:r>
      <w:r>
        <w:t>EUR</w:t>
      </w:r>
      <w:r>
        <w:rPr>
          <w:spacing w:val="1"/>
        </w:rPr>
        <w:t xml:space="preserve">), czy też braku konieczności oceny sytuacji ekonomicznej, podmiot udzielający pomocy de minimis w okresie przejściowym będzie musiał stosować nadal zasady surowsze wynikające z rozporządzenia </w:t>
      </w:r>
      <w:r>
        <w:rPr>
          <w:spacing w:val="1"/>
        </w:rPr>
        <w:lastRenderedPageBreak/>
        <w:t xml:space="preserve">KE nr 1998/2006, a zatem np. dla sektora drogowego transportu pasażerskiego limit 100 tys. </w:t>
      </w:r>
      <w:r>
        <w:t>EUR</w:t>
      </w:r>
      <w:r>
        <w:rPr>
          <w:spacing w:val="1"/>
        </w:rPr>
        <w:t xml:space="preserve">, czy też odmawiać udzielenia pomocy przedsiębiorcy w trudnej sytuacji ekonomicznej. </w:t>
      </w:r>
    </w:p>
    <w:p w:rsidR="00086D27" w:rsidRDefault="00086D27" w:rsidP="00086D27">
      <w:pPr>
        <w:jc w:val="both"/>
      </w:pPr>
      <w:r>
        <w:t> </w:t>
      </w:r>
    </w:p>
    <w:p w:rsidR="00283F75" w:rsidRDefault="00086D27" w:rsidP="00086D27">
      <w:pPr>
        <w:jc w:val="both"/>
      </w:pPr>
      <w:r>
        <w:rPr>
          <w:spacing w:val="1"/>
        </w:rPr>
        <w:t xml:space="preserve">Dlatego też w ocenie UOKiK, w stosunku do tych programów pomocowych (ustaw, rozporządzeń, aktów prawa miejscowego) będących we właściwości poszczególnych resortów (gmin - w zakresie aktów prawa miejscowego), które przewidują stosowanie zasad wynikających z rozporządzenia KE nr 1998/2006 do dnia 30 czerwca 2014 r. </w:t>
      </w:r>
      <w:r>
        <w:rPr>
          <w:b/>
          <w:bCs/>
          <w:spacing w:val="1"/>
          <w:u w:val="single"/>
        </w:rPr>
        <w:t xml:space="preserve">zasadne byłoby rozważenie ich nowelizacji już teraz, tak aby nowe zasady de minimis, wynikające z rozporządzenia KE nr 1407/2013 i </w:t>
      </w:r>
      <w:r>
        <w:rPr>
          <w:rStyle w:val="Uwydatnienie"/>
          <w:b/>
          <w:bCs/>
          <w:spacing w:val="1"/>
          <w:u w:val="single"/>
        </w:rPr>
        <w:t>de facto</w:t>
      </w:r>
      <w:r>
        <w:rPr>
          <w:b/>
          <w:bCs/>
          <w:spacing w:val="1"/>
          <w:u w:val="single"/>
        </w:rPr>
        <w:t xml:space="preserve"> korzystne nie tylko dla przedsiębiorców, ale również wiążące się z odciążeniem podmiotów udzielających pomocy od konieczności dalszego badania sytuacji ekonomicznej przedsiębiorstw, zaczęły obowiązywać jak najwcześniej</w:t>
      </w:r>
      <w:r>
        <w:rPr>
          <w:spacing w:val="1"/>
        </w:rPr>
        <w:t>.</w:t>
      </w:r>
    </w:p>
    <w:sectPr w:rsidR="00283F75" w:rsidSect="0028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D27"/>
    <w:rsid w:val="00086D27"/>
    <w:rsid w:val="0028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86D27"/>
    <w:rPr>
      <w:i/>
      <w:iCs/>
    </w:rPr>
  </w:style>
  <w:style w:type="character" w:styleId="Pogrubienie">
    <w:name w:val="Strong"/>
    <w:basedOn w:val="Domylnaczcionkaakapitu"/>
    <w:uiPriority w:val="22"/>
    <w:qFormat/>
    <w:rsid w:val="00086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2013-12-30T09:57:00Z</dcterms:created>
  <dcterms:modified xsi:type="dcterms:W3CDTF">2013-12-30T10:00:00Z</dcterms:modified>
</cp:coreProperties>
</file>