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113" w:rsidRDefault="00D36113" w:rsidP="00B1570D">
      <w:pPr>
        <w:spacing w:before="240" w:after="0"/>
        <w:jc w:val="both"/>
        <w:rPr>
          <w:rFonts w:cs="Arial"/>
        </w:rPr>
      </w:pPr>
      <w:bookmarkStart w:id="0" w:name="_GoBack"/>
      <w:bookmarkEnd w:id="0"/>
      <w:r w:rsidRPr="00D36113">
        <w:rPr>
          <w:rFonts w:cs="Arial"/>
        </w:rPr>
        <w:t xml:space="preserve">Nowe zasady klasyfikowania spraw obowiązują </w:t>
      </w:r>
      <w:r w:rsidRPr="00BF7B39">
        <w:rPr>
          <w:rFonts w:cs="Arial"/>
          <w:u w:val="single"/>
        </w:rPr>
        <w:t>od 1 stycznia 2017 r.</w:t>
      </w:r>
      <w:r w:rsidR="00BF7B39">
        <w:rPr>
          <w:rFonts w:cs="Arial"/>
          <w:u w:val="single"/>
        </w:rPr>
        <w:t>,</w:t>
      </w:r>
      <w:r w:rsidRPr="00D36113">
        <w:rPr>
          <w:rFonts w:cs="Arial"/>
        </w:rPr>
        <w:t xml:space="preserve"> co oznacza, że od tego momentu </w:t>
      </w:r>
      <w:r w:rsidRPr="00BF7B39">
        <w:rPr>
          <w:rFonts w:cs="Arial"/>
          <w:b/>
        </w:rPr>
        <w:t>zbieranie i klasyfikowanie</w:t>
      </w:r>
      <w:r w:rsidRPr="00D36113">
        <w:rPr>
          <w:rFonts w:cs="Arial"/>
        </w:rPr>
        <w:t xml:space="preserve"> danych </w:t>
      </w:r>
      <w:r w:rsidR="00C64339">
        <w:rPr>
          <w:rFonts w:cs="Arial"/>
        </w:rPr>
        <w:t xml:space="preserve">powinno następować </w:t>
      </w:r>
      <w:r w:rsidR="00C64339" w:rsidRPr="00BF7B39">
        <w:rPr>
          <w:rFonts w:cs="Arial"/>
          <w:u w:val="single"/>
        </w:rPr>
        <w:t>na nowych zasadach</w:t>
      </w:r>
      <w:r w:rsidR="00C64339">
        <w:rPr>
          <w:rFonts w:cs="Arial"/>
        </w:rPr>
        <w:t xml:space="preserve">. </w:t>
      </w:r>
    </w:p>
    <w:p w:rsidR="00B1570D" w:rsidRDefault="00D36113" w:rsidP="00B1570D">
      <w:pPr>
        <w:spacing w:after="0"/>
        <w:jc w:val="both"/>
        <w:rPr>
          <w:rFonts w:cs="Arial"/>
          <w:b/>
        </w:rPr>
      </w:pPr>
      <w:r w:rsidRPr="00D36113">
        <w:rPr>
          <w:rFonts w:cs="Arial"/>
        </w:rPr>
        <w:t xml:space="preserve">Na podstawie danych zebranych w ten sposób możliwe będzie </w:t>
      </w:r>
      <w:r w:rsidRPr="00D36113">
        <w:rPr>
          <w:rFonts w:cs="Arial"/>
          <w:b/>
        </w:rPr>
        <w:t xml:space="preserve">opracowanie danych na potrzeby przygotowania sprawozdania za 2017 r. </w:t>
      </w:r>
      <w:r w:rsidRPr="00BF7B39">
        <w:rPr>
          <w:rFonts w:cs="Arial"/>
        </w:rPr>
        <w:t>(składanego na początku 2018 r.).</w:t>
      </w:r>
    </w:p>
    <w:p w:rsidR="00D36113" w:rsidRPr="00B1570D" w:rsidRDefault="00D36113" w:rsidP="008E5987">
      <w:pPr>
        <w:spacing w:after="0"/>
        <w:rPr>
          <w:rFonts w:cs="Arial"/>
          <w:b/>
        </w:rPr>
      </w:pPr>
      <w:r>
        <w:rPr>
          <w:rFonts w:cs="Arial"/>
          <w:b/>
        </w:rPr>
        <w:br/>
      </w:r>
      <w:r w:rsidRPr="00B1570D">
        <w:rPr>
          <w:rFonts w:cs="Arial"/>
          <w:b/>
        </w:rPr>
        <w:t>Sprawozdanie z działalności rzecznika konsumentów za rok 2016 r. powinno uwzględniać dane o prowadzonych sprawach zbierane i klasyfikowane na dotychczasowych zasadach.</w:t>
      </w:r>
    </w:p>
    <w:p w:rsidR="00D36113" w:rsidRPr="00D36113" w:rsidRDefault="00D36113" w:rsidP="00B1570D">
      <w:pPr>
        <w:jc w:val="both"/>
        <w:rPr>
          <w:rFonts w:cs="Arial"/>
          <w:b/>
        </w:rPr>
      </w:pPr>
    </w:p>
    <w:p w:rsidR="00DF7A75" w:rsidRPr="00D36113" w:rsidRDefault="008E5987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D36113">
        <w:rPr>
          <w:rFonts w:cs="Arial"/>
          <w:b/>
        </w:rPr>
        <w:t xml:space="preserve">TABELE DO SPRAWOZDANIA RK - ZBIERANIE DANYCH </w:t>
      </w:r>
    </w:p>
    <w:p w:rsidR="000F3F6C" w:rsidRDefault="00BF7B39" w:rsidP="00B1570D">
      <w:pPr>
        <w:pStyle w:val="Akapitzlist"/>
        <w:numPr>
          <w:ilvl w:val="0"/>
          <w:numId w:val="3"/>
        </w:numPr>
        <w:spacing w:before="240" w:after="0"/>
        <w:jc w:val="both"/>
        <w:rPr>
          <w:rFonts w:cs="Arial"/>
        </w:rPr>
      </w:pPr>
      <w:r w:rsidRPr="00BF7B39">
        <w:rPr>
          <w:rFonts w:cs="Arial"/>
        </w:rPr>
        <w:t>Dla klasyfikowania prowadzonych spraw pomocna może być tabela</w:t>
      </w:r>
      <w:r w:rsidR="000F3F6C" w:rsidRPr="00BF7B39">
        <w:rPr>
          <w:rFonts w:cs="Arial"/>
        </w:rPr>
        <w:t xml:space="preserve"> </w:t>
      </w:r>
      <w:r w:rsidRPr="00BF7B39">
        <w:rPr>
          <w:rFonts w:cs="Arial"/>
        </w:rPr>
        <w:t>zamieszczona w pliku w formacie Excel pn. „Tabele do sprawozdania RK - zbieranie danych”. Bieżące odnotowywanie z tabeli danych o ilości i rodzaju spraw</w:t>
      </w:r>
      <w:r>
        <w:rPr>
          <w:rFonts w:cs="Arial"/>
        </w:rPr>
        <w:t xml:space="preserve"> </w:t>
      </w:r>
      <w:r w:rsidR="000F3F6C" w:rsidRPr="00BF7B39">
        <w:rPr>
          <w:rFonts w:cs="Arial"/>
        </w:rPr>
        <w:t xml:space="preserve">może być bardzo pomocne dla </w:t>
      </w:r>
      <w:r>
        <w:rPr>
          <w:rFonts w:cs="Arial"/>
        </w:rPr>
        <w:t xml:space="preserve">sporządzania </w:t>
      </w:r>
      <w:r w:rsidR="000F3F6C" w:rsidRPr="00BF7B39">
        <w:rPr>
          <w:rFonts w:cs="Arial"/>
        </w:rPr>
        <w:t xml:space="preserve">rocznego podsumowania i opracowania danych o ilościach </w:t>
      </w:r>
      <w:r>
        <w:rPr>
          <w:rFonts w:cs="Arial"/>
        </w:rPr>
        <w:t xml:space="preserve">prowadzonych </w:t>
      </w:r>
      <w:r w:rsidR="000F3F6C" w:rsidRPr="00BF7B39">
        <w:rPr>
          <w:rFonts w:cs="Arial"/>
        </w:rPr>
        <w:t>spraw</w:t>
      </w:r>
      <w:r>
        <w:rPr>
          <w:rFonts w:cs="Arial"/>
        </w:rPr>
        <w:t>,</w:t>
      </w:r>
      <w:r w:rsidR="000F3F6C" w:rsidRPr="00BF7B39">
        <w:rPr>
          <w:rFonts w:cs="Arial"/>
        </w:rPr>
        <w:t xml:space="preserve"> </w:t>
      </w:r>
      <w:r>
        <w:rPr>
          <w:rFonts w:cs="Arial"/>
        </w:rPr>
        <w:t>w formie tabel</w:t>
      </w:r>
      <w:r w:rsidR="000F3F6C" w:rsidRPr="00BF7B39">
        <w:rPr>
          <w:rFonts w:cs="Arial"/>
        </w:rPr>
        <w:t xml:space="preserve"> podsumowujących. </w:t>
      </w:r>
    </w:p>
    <w:p w:rsidR="00BF7B39" w:rsidRPr="00BF7B39" w:rsidRDefault="00BF7B39" w:rsidP="00BF7B39">
      <w:pPr>
        <w:pStyle w:val="Akapitzlist"/>
        <w:spacing w:before="240" w:after="0"/>
        <w:ind w:left="360"/>
        <w:jc w:val="both"/>
        <w:rPr>
          <w:rFonts w:cs="Arial"/>
        </w:rPr>
      </w:pPr>
    </w:p>
    <w:p w:rsidR="000F3F6C" w:rsidRPr="0036325E" w:rsidRDefault="000F3F6C" w:rsidP="00B1570D">
      <w:pPr>
        <w:pStyle w:val="Akapitzlist"/>
        <w:ind w:left="360"/>
        <w:jc w:val="both"/>
        <w:rPr>
          <w:rFonts w:cs="Arial"/>
        </w:rPr>
      </w:pPr>
      <w:r w:rsidRPr="0036325E">
        <w:rPr>
          <w:rFonts w:cs="Arial"/>
        </w:rPr>
        <w:t xml:space="preserve">Możliwe jest </w:t>
      </w:r>
      <w:r w:rsidR="00C64339">
        <w:rPr>
          <w:rFonts w:cs="Arial"/>
        </w:rPr>
        <w:t xml:space="preserve">jednak </w:t>
      </w:r>
      <w:r w:rsidRPr="0036325E">
        <w:rPr>
          <w:rFonts w:cs="Arial"/>
        </w:rPr>
        <w:t>zbieranie danych przy wykorzystaniu innego narzędzia (np. stosowanego w danym starostwie lub urzędzie miasta systemu dokumentującego obieg dokumentów) – o ile pozwala on</w:t>
      </w:r>
      <w:r w:rsidR="00C64339">
        <w:rPr>
          <w:rFonts w:cs="Arial"/>
        </w:rPr>
        <w:t>o</w:t>
      </w:r>
      <w:r w:rsidRPr="0036325E">
        <w:rPr>
          <w:rFonts w:cs="Arial"/>
        </w:rPr>
        <w:t xml:space="preserve"> na dokonanie klasyfikacji spraw według trzech kryteriów: sposób zawarcia umowy, informacja sektorowa, główny problem.</w:t>
      </w:r>
    </w:p>
    <w:p w:rsidR="000F3F6C" w:rsidRPr="0036325E" w:rsidRDefault="000F3F6C" w:rsidP="00B1570D">
      <w:pPr>
        <w:pStyle w:val="Akapitzlist"/>
        <w:ind w:left="360"/>
        <w:jc w:val="both"/>
        <w:rPr>
          <w:rFonts w:cs="Arial"/>
        </w:rPr>
      </w:pPr>
    </w:p>
    <w:p w:rsidR="00EB5F69" w:rsidRPr="0036325E" w:rsidRDefault="000F3F6C" w:rsidP="00B1570D">
      <w:pPr>
        <w:pStyle w:val="Akapitzlist"/>
        <w:numPr>
          <w:ilvl w:val="0"/>
          <w:numId w:val="3"/>
        </w:numPr>
        <w:jc w:val="both"/>
        <w:rPr>
          <w:rFonts w:cs="Arial"/>
        </w:rPr>
      </w:pPr>
      <w:r w:rsidRPr="0036325E">
        <w:rPr>
          <w:rFonts w:cs="Arial"/>
        </w:rPr>
        <w:t>Poszczególne t</w:t>
      </w:r>
      <w:r w:rsidR="00EB5F69" w:rsidRPr="0036325E">
        <w:rPr>
          <w:rFonts w:cs="Arial"/>
        </w:rPr>
        <w:t xml:space="preserve">abele powinny być wykorzystywane do zbierania danych w okresie jednego roku. </w:t>
      </w:r>
    </w:p>
    <w:p w:rsidR="002812C5" w:rsidRPr="0036325E" w:rsidRDefault="002812C5" w:rsidP="00B1570D">
      <w:pPr>
        <w:pStyle w:val="Akapitzlist"/>
        <w:spacing w:before="240"/>
        <w:ind w:left="360"/>
        <w:jc w:val="both"/>
        <w:rPr>
          <w:rFonts w:cs="Arial"/>
        </w:rPr>
      </w:pPr>
    </w:p>
    <w:p w:rsidR="00EF34B8" w:rsidRPr="0036325E" w:rsidRDefault="00EF34B8" w:rsidP="00B1570D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cs="Arial"/>
        </w:rPr>
      </w:pPr>
      <w:r w:rsidRPr="0036325E">
        <w:rPr>
          <w:rFonts w:cs="Arial"/>
        </w:rPr>
        <w:t xml:space="preserve">Plik zawiera tabele zapisane w sześciu arkuszach:  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porady i informacje TAB 1.1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informacje pisemne TAB 1.2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wystąpienia TAB 2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współpraca TAB 3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sądowe RK TAB 4.1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sądowe pomoc TAB 4.2</w:t>
      </w:r>
    </w:p>
    <w:p w:rsidR="00EF34B8" w:rsidRPr="0036325E" w:rsidRDefault="00EF34B8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 xml:space="preserve">kategorie sektorowe </w:t>
      </w:r>
    </w:p>
    <w:p w:rsidR="002812C5" w:rsidRPr="0036325E" w:rsidRDefault="002812C5" w:rsidP="00B1570D">
      <w:pPr>
        <w:spacing w:after="0"/>
        <w:jc w:val="both"/>
        <w:rPr>
          <w:rFonts w:cs="Arial"/>
        </w:rPr>
      </w:pPr>
    </w:p>
    <w:p w:rsidR="00EB5F69" w:rsidRPr="0036325E" w:rsidRDefault="008E5987" w:rsidP="008E5987">
      <w:pPr>
        <w:pStyle w:val="Akapitzlist"/>
        <w:spacing w:after="0"/>
        <w:ind w:left="1003" w:hanging="1003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6716318" cy="2850522"/>
            <wp:effectExtent l="19050" t="0" r="8332" b="0"/>
            <wp:docPr id="3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74" cy="28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C5" w:rsidRPr="00C64339" w:rsidRDefault="002812C5" w:rsidP="00B1570D">
      <w:pPr>
        <w:pStyle w:val="Akapitzlist"/>
        <w:ind w:left="284"/>
        <w:jc w:val="both"/>
        <w:rPr>
          <w:rFonts w:cs="Arial"/>
          <w:sz w:val="18"/>
        </w:rPr>
      </w:pPr>
    </w:p>
    <w:p w:rsidR="000F3F6C" w:rsidRPr="004223E1" w:rsidRDefault="0074338B" w:rsidP="004223E1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Uwaga: wszystkie tabele zawierają 3 kolumny</w:t>
      </w:r>
      <w:r w:rsidR="004223E1">
        <w:rPr>
          <w:rFonts w:cs="Arial"/>
        </w:rPr>
        <w:t>. N</w:t>
      </w:r>
      <w:r w:rsidRPr="0036325E">
        <w:rPr>
          <w:rFonts w:cs="Arial"/>
        </w:rPr>
        <w:t xml:space="preserve">ie należy </w:t>
      </w:r>
      <w:r w:rsidR="004223E1">
        <w:rPr>
          <w:rFonts w:cs="Arial"/>
        </w:rPr>
        <w:t xml:space="preserve">ich </w:t>
      </w:r>
      <w:r w:rsidRPr="0036325E">
        <w:rPr>
          <w:rFonts w:cs="Arial"/>
        </w:rPr>
        <w:t>usuwać</w:t>
      </w:r>
      <w:r w:rsidR="004223E1">
        <w:rPr>
          <w:rFonts w:cs="Arial"/>
        </w:rPr>
        <w:t>!!!</w:t>
      </w:r>
      <w:r w:rsidRPr="0036325E">
        <w:rPr>
          <w:rFonts w:cs="Arial"/>
        </w:rPr>
        <w:t xml:space="preserve"> </w:t>
      </w:r>
      <w:r w:rsidRPr="004223E1">
        <w:rPr>
          <w:rFonts w:cs="Arial"/>
        </w:rPr>
        <w:t>Zawierają one dane źródłowe do list rozwijanych. Usunięcie tych kolumn spowoduje usunięcie zawartości list rozwijanych.</w:t>
      </w:r>
    </w:p>
    <w:p w:rsidR="0074338B" w:rsidRPr="0036325E" w:rsidRDefault="0074338B" w:rsidP="00B1570D">
      <w:pPr>
        <w:pStyle w:val="Akapitzlist"/>
        <w:ind w:left="284"/>
        <w:jc w:val="both"/>
        <w:rPr>
          <w:rFonts w:cs="Arial"/>
        </w:rPr>
      </w:pPr>
    </w:p>
    <w:p w:rsidR="00EF34B8" w:rsidRPr="0036325E" w:rsidRDefault="00EF34B8" w:rsidP="008E5987">
      <w:pPr>
        <w:pStyle w:val="Akapitzlist"/>
        <w:numPr>
          <w:ilvl w:val="0"/>
          <w:numId w:val="3"/>
        </w:numPr>
        <w:jc w:val="both"/>
        <w:rPr>
          <w:rFonts w:cs="Arial"/>
        </w:rPr>
      </w:pPr>
      <w:r w:rsidRPr="0036325E">
        <w:rPr>
          <w:rFonts w:cs="Arial"/>
        </w:rPr>
        <w:t>Komentarz do poszczególnych tabel:</w:t>
      </w:r>
    </w:p>
    <w:p w:rsidR="00EF34B8" w:rsidRPr="008E5987" w:rsidRDefault="00EF34B8" w:rsidP="008E59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4" w:firstLine="283"/>
        <w:jc w:val="both"/>
        <w:rPr>
          <w:rFonts w:cs="Arial"/>
          <w:b/>
        </w:rPr>
      </w:pPr>
      <w:r w:rsidRPr="008E5987">
        <w:rPr>
          <w:rFonts w:cs="Arial"/>
          <w:b/>
        </w:rPr>
        <w:t>porady i informacje TAB 1.1</w:t>
      </w:r>
    </w:p>
    <w:p w:rsidR="00EF34B8" w:rsidRPr="0036325E" w:rsidRDefault="00EF34B8" w:rsidP="008E5987">
      <w:pPr>
        <w:ind w:left="424" w:firstLine="283"/>
        <w:jc w:val="both"/>
        <w:rPr>
          <w:rFonts w:cs="Arial"/>
        </w:rPr>
      </w:pPr>
      <w:r w:rsidRPr="0036325E">
        <w:rPr>
          <w:rFonts w:cs="Arial"/>
        </w:rPr>
        <w:t xml:space="preserve">tabela służy </w:t>
      </w:r>
      <w:r w:rsidR="00EB5F69" w:rsidRPr="0036325E">
        <w:rPr>
          <w:rFonts w:cs="Arial"/>
        </w:rPr>
        <w:t>do klasyfikowania</w:t>
      </w:r>
      <w:r w:rsidRPr="0036325E">
        <w:rPr>
          <w:rFonts w:cs="Arial"/>
        </w:rPr>
        <w:t xml:space="preserve"> </w:t>
      </w:r>
      <w:r w:rsidRPr="00C64339">
        <w:rPr>
          <w:rFonts w:cs="Arial"/>
          <w:b/>
        </w:rPr>
        <w:t>porad i informacji udziel</w:t>
      </w:r>
      <w:r w:rsidR="003639EC" w:rsidRPr="00C64339">
        <w:rPr>
          <w:rFonts w:cs="Arial"/>
          <w:b/>
        </w:rPr>
        <w:t>anych osobiście i telefonicznie</w:t>
      </w:r>
      <w:r w:rsidR="00C64339">
        <w:rPr>
          <w:rFonts w:cs="Arial"/>
          <w:b/>
        </w:rPr>
        <w:t>.</w:t>
      </w:r>
    </w:p>
    <w:p w:rsidR="00C64339" w:rsidRDefault="008E5987" w:rsidP="008E5987">
      <w:pPr>
        <w:ind w:left="644"/>
        <w:jc w:val="both"/>
        <w:rPr>
          <w:rFonts w:cs="Arial"/>
        </w:rPr>
      </w:pPr>
      <w:r>
        <w:rPr>
          <w:rFonts w:cs="Arial"/>
        </w:rPr>
        <w:t>Z</w:t>
      </w:r>
      <w:r w:rsidR="00EB5F69" w:rsidRPr="0036325E">
        <w:rPr>
          <w:rFonts w:cs="Arial"/>
        </w:rPr>
        <w:t xml:space="preserve">ebranie </w:t>
      </w:r>
      <w:r w:rsidR="00120B3A" w:rsidRPr="0036325E">
        <w:rPr>
          <w:rFonts w:cs="Arial"/>
        </w:rPr>
        <w:t xml:space="preserve">danych wymaga </w:t>
      </w:r>
      <w:r w:rsidR="00EC6AB3" w:rsidRPr="0036325E">
        <w:rPr>
          <w:rFonts w:cs="Arial"/>
        </w:rPr>
        <w:t>klasyfikacji porad</w:t>
      </w:r>
      <w:r w:rsidR="00C64339">
        <w:rPr>
          <w:rFonts w:cs="Arial"/>
        </w:rPr>
        <w:t xml:space="preserve"> i </w:t>
      </w:r>
      <w:r w:rsidR="00EC6AB3" w:rsidRPr="0036325E">
        <w:rPr>
          <w:rFonts w:cs="Arial"/>
        </w:rPr>
        <w:t xml:space="preserve">informacji </w:t>
      </w:r>
      <w:r w:rsidR="00C64339" w:rsidRPr="0036325E">
        <w:rPr>
          <w:rFonts w:cs="Arial"/>
        </w:rPr>
        <w:t xml:space="preserve">udzielanych </w:t>
      </w:r>
      <w:r w:rsidR="00C64339">
        <w:rPr>
          <w:rFonts w:cs="Arial"/>
        </w:rPr>
        <w:t xml:space="preserve">ustnie, </w:t>
      </w:r>
      <w:r w:rsidR="005E0B03" w:rsidRPr="0036325E">
        <w:rPr>
          <w:rFonts w:cs="Arial"/>
        </w:rPr>
        <w:t>a wi</w:t>
      </w:r>
      <w:r w:rsidR="00C64339">
        <w:rPr>
          <w:rFonts w:cs="Arial"/>
        </w:rPr>
        <w:t>ęc</w:t>
      </w:r>
      <w:r w:rsidR="005E0B03" w:rsidRPr="0036325E">
        <w:rPr>
          <w:rFonts w:cs="Arial"/>
        </w:rPr>
        <w:t xml:space="preserve"> </w:t>
      </w:r>
      <w:r w:rsidR="00EC6AB3" w:rsidRPr="0036325E">
        <w:rPr>
          <w:rFonts w:cs="Arial"/>
        </w:rPr>
        <w:t>spraw nie tworzących dokumentacji</w:t>
      </w:r>
      <w:r w:rsidR="00C64339">
        <w:rPr>
          <w:rFonts w:cs="Arial"/>
        </w:rPr>
        <w:t>, poprzez wypełnienie:</w:t>
      </w:r>
    </w:p>
    <w:p w:rsidR="00120B3A" w:rsidRPr="0036325E" w:rsidRDefault="00120B3A" w:rsidP="00750D30">
      <w:pPr>
        <w:pStyle w:val="Akapitzlist"/>
        <w:numPr>
          <w:ilvl w:val="0"/>
          <w:numId w:val="15"/>
        </w:numPr>
        <w:jc w:val="both"/>
        <w:rPr>
          <w:rFonts w:cs="Arial"/>
        </w:rPr>
      </w:pPr>
      <w:r w:rsidRPr="00750D30">
        <w:rPr>
          <w:rFonts w:cs="Arial"/>
          <w:b/>
        </w:rPr>
        <w:t>pol</w:t>
      </w:r>
      <w:r w:rsidR="00C64339" w:rsidRPr="00750D30">
        <w:rPr>
          <w:rFonts w:cs="Arial"/>
          <w:b/>
        </w:rPr>
        <w:t>a</w:t>
      </w:r>
      <w:r w:rsidR="00EB5F69" w:rsidRPr="00750D30">
        <w:rPr>
          <w:rFonts w:cs="Arial"/>
          <w:b/>
        </w:rPr>
        <w:t xml:space="preserve"> </w:t>
      </w:r>
      <w:r w:rsidR="00750D30">
        <w:rPr>
          <w:rFonts w:cs="Arial"/>
          <w:b/>
        </w:rPr>
        <w:t xml:space="preserve">daty: </w:t>
      </w:r>
      <w:r w:rsidR="00750D30">
        <w:rPr>
          <w:rFonts w:cs="Arial"/>
        </w:rPr>
        <w:t>zamieszczenie daty</w:t>
      </w:r>
      <w:r w:rsidR="00EB5F69" w:rsidRPr="0036325E">
        <w:rPr>
          <w:rFonts w:cs="Arial"/>
        </w:rPr>
        <w:t xml:space="preserve"> </w:t>
      </w:r>
      <w:r w:rsidR="00750D30" w:rsidRPr="00750D30">
        <w:rPr>
          <w:rFonts w:cs="Arial"/>
          <w:u w:val="single"/>
        </w:rPr>
        <w:t xml:space="preserve">nie </w:t>
      </w:r>
      <w:r w:rsidRPr="00750D30">
        <w:rPr>
          <w:rFonts w:cs="Arial"/>
          <w:u w:val="single"/>
        </w:rPr>
        <w:t xml:space="preserve">jest </w:t>
      </w:r>
      <w:r w:rsidR="00EB5F69" w:rsidRPr="00750D30">
        <w:rPr>
          <w:rFonts w:cs="Arial"/>
          <w:u w:val="single"/>
        </w:rPr>
        <w:t xml:space="preserve">obowiązkowe, ale </w:t>
      </w:r>
      <w:r w:rsidRPr="00750D30">
        <w:rPr>
          <w:rFonts w:cs="Arial"/>
          <w:u w:val="single"/>
        </w:rPr>
        <w:t>u</w:t>
      </w:r>
      <w:r w:rsidR="00EB5F69" w:rsidRPr="00750D30">
        <w:rPr>
          <w:rFonts w:cs="Arial"/>
          <w:u w:val="single"/>
        </w:rPr>
        <w:t>żyteczne</w:t>
      </w:r>
      <w:r w:rsidR="00EB5F69" w:rsidRPr="0036325E">
        <w:rPr>
          <w:rFonts w:cs="Arial"/>
        </w:rPr>
        <w:t xml:space="preserve"> dla ustalenia ilości porad i informacji udzielanych w poszczególnych okresach</w:t>
      </w:r>
      <w:r w:rsidR="00544397" w:rsidRPr="0036325E">
        <w:rPr>
          <w:rFonts w:cs="Arial"/>
        </w:rPr>
        <w:t xml:space="preserve">. Wpisywanie daty zawsze w tym samym formacie ułatwia </w:t>
      </w:r>
      <w:r w:rsidR="00C64339">
        <w:rPr>
          <w:rFonts w:cs="Arial"/>
        </w:rPr>
        <w:t xml:space="preserve">późniejsze </w:t>
      </w:r>
      <w:r w:rsidR="00544397" w:rsidRPr="0036325E">
        <w:rPr>
          <w:rFonts w:cs="Arial"/>
        </w:rPr>
        <w:t>opracowywanie danych</w:t>
      </w:r>
      <w:r w:rsidR="00C64339">
        <w:rPr>
          <w:rFonts w:cs="Arial"/>
        </w:rPr>
        <w:t>.</w:t>
      </w:r>
    </w:p>
    <w:p w:rsidR="002812C5" w:rsidRPr="0036325E" w:rsidRDefault="00E8375E" w:rsidP="00B1570D">
      <w:pPr>
        <w:pStyle w:val="Akapitzlist"/>
        <w:ind w:left="644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>
            <wp:extent cx="5319069" cy="1423033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84" cy="14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30" w:rsidRPr="00750D30" w:rsidRDefault="00750D30" w:rsidP="00750D30">
      <w:pPr>
        <w:pStyle w:val="Akapitzlist"/>
        <w:ind w:left="1068"/>
        <w:jc w:val="both"/>
        <w:rPr>
          <w:rFonts w:cs="Arial"/>
        </w:rPr>
      </w:pPr>
    </w:p>
    <w:p w:rsidR="00750D30" w:rsidRDefault="00750D30" w:rsidP="00750D30">
      <w:pPr>
        <w:pStyle w:val="Akapitzlist"/>
        <w:numPr>
          <w:ilvl w:val="0"/>
          <w:numId w:val="15"/>
        </w:numPr>
        <w:jc w:val="both"/>
        <w:rPr>
          <w:rFonts w:cs="Arial"/>
        </w:rPr>
      </w:pPr>
      <w:r w:rsidRPr="00750D30">
        <w:rPr>
          <w:rFonts w:cs="Arial"/>
          <w:b/>
        </w:rPr>
        <w:t>trzech pól klasyfikacyjnych:</w:t>
      </w:r>
      <w:r w:rsidRPr="00750D30">
        <w:rPr>
          <w:rFonts w:cs="Arial"/>
        </w:rPr>
        <w:t xml:space="preserve"> </w:t>
      </w:r>
      <w:r w:rsidR="00790FFF" w:rsidRPr="0036325E">
        <w:rPr>
          <w:rFonts w:cs="Arial"/>
        </w:rPr>
        <w:t xml:space="preserve">[A. </w:t>
      </w:r>
      <w:r w:rsidR="009A11EF">
        <w:rPr>
          <w:rFonts w:cs="Arial"/>
        </w:rPr>
        <w:t xml:space="preserve">sposób </w:t>
      </w:r>
      <w:r w:rsidR="00790FFF" w:rsidRPr="0036325E">
        <w:rPr>
          <w:rFonts w:cs="Arial"/>
        </w:rPr>
        <w:t>zawarcia umowy], [B. informacje sektorowe], [C. główny problem]</w:t>
      </w:r>
    </w:p>
    <w:p w:rsidR="00790FFF" w:rsidRPr="00750D30" w:rsidRDefault="00790FFF" w:rsidP="00790FFF">
      <w:pPr>
        <w:pStyle w:val="Akapitzlist"/>
        <w:ind w:left="1068"/>
        <w:jc w:val="both"/>
        <w:rPr>
          <w:rFonts w:cs="Arial"/>
        </w:rPr>
      </w:pPr>
    </w:p>
    <w:p w:rsidR="0033506E" w:rsidRPr="00790FFF" w:rsidRDefault="00D47717" w:rsidP="00790FFF">
      <w:pPr>
        <w:pStyle w:val="Akapitzlist"/>
        <w:numPr>
          <w:ilvl w:val="0"/>
          <w:numId w:val="16"/>
        </w:numPr>
        <w:ind w:left="1004" w:hanging="11"/>
        <w:jc w:val="both"/>
        <w:rPr>
          <w:rFonts w:cs="Arial"/>
        </w:rPr>
      </w:pPr>
      <w:r w:rsidRPr="00790FFF">
        <w:rPr>
          <w:rFonts w:cs="Arial"/>
        </w:rPr>
        <w:t xml:space="preserve">pole [A. </w:t>
      </w:r>
      <w:r w:rsidR="009A11EF">
        <w:rPr>
          <w:rFonts w:cs="Arial"/>
        </w:rPr>
        <w:t>sposób</w:t>
      </w:r>
      <w:r w:rsidRPr="00790FFF">
        <w:rPr>
          <w:rFonts w:cs="Arial"/>
        </w:rPr>
        <w:t xml:space="preserve"> zawarcia umowy]: </w:t>
      </w:r>
      <w:r w:rsidR="00120B3A" w:rsidRPr="00790FFF">
        <w:rPr>
          <w:rFonts w:cs="Arial"/>
        </w:rPr>
        <w:t xml:space="preserve">należy </w:t>
      </w:r>
      <w:r w:rsidRPr="00790FFF">
        <w:rPr>
          <w:rFonts w:cs="Arial"/>
        </w:rPr>
        <w:t>wypełnić dokonując</w:t>
      </w:r>
      <w:r w:rsidR="00120B3A" w:rsidRPr="00790FFF">
        <w:rPr>
          <w:rFonts w:cs="Arial"/>
        </w:rPr>
        <w:t xml:space="preserve"> wyboru </w:t>
      </w:r>
      <w:r w:rsidRPr="00790FFF">
        <w:rPr>
          <w:rFonts w:cs="Arial"/>
        </w:rPr>
        <w:t xml:space="preserve">pozycji </w:t>
      </w:r>
      <w:r w:rsidR="00120B3A" w:rsidRPr="00790FFF">
        <w:rPr>
          <w:rFonts w:cs="Arial"/>
          <w:u w:val="single"/>
        </w:rPr>
        <w:t>z listy rozwijanej</w:t>
      </w:r>
      <w:r w:rsidR="00120B3A" w:rsidRPr="00790FFF">
        <w:rPr>
          <w:rFonts w:cs="Arial"/>
        </w:rPr>
        <w:t>.</w:t>
      </w:r>
      <w:r w:rsidR="009A11EF">
        <w:rPr>
          <w:rFonts w:cs="Arial"/>
        </w:rPr>
        <w:t xml:space="preserve"> (uwaga: pierwotnie używano pojęcia [metoda zawarcia umowy] stąd taka jest nazwa kolumny na printsceenach; Przyjmij, że A. Metoda zawarcia umowy = A. Sposób zawarcia umowy)</w:t>
      </w:r>
    </w:p>
    <w:p w:rsidR="00E8375E" w:rsidRPr="0036325E" w:rsidRDefault="00E8375E" w:rsidP="00B1570D">
      <w:pPr>
        <w:pStyle w:val="Akapitzlist"/>
        <w:spacing w:after="0"/>
        <w:ind w:left="644"/>
        <w:jc w:val="both"/>
        <w:rPr>
          <w:rFonts w:cs="Arial"/>
        </w:rPr>
      </w:pPr>
    </w:p>
    <w:p w:rsidR="002812C5" w:rsidRPr="0036325E" w:rsidRDefault="00E8375E" w:rsidP="00B1570D">
      <w:pPr>
        <w:spacing w:after="0"/>
        <w:ind w:left="647" w:hanging="3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380FC00F" wp14:editId="4F47E1AE">
            <wp:extent cx="5426161" cy="1925007"/>
            <wp:effectExtent l="19050" t="0" r="3089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22" cy="19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5E" w:rsidRPr="0036325E" w:rsidRDefault="002812C5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softHyphen/>
      </w:r>
      <w:r w:rsidRPr="0036325E">
        <w:rPr>
          <w:rFonts w:cs="Arial"/>
        </w:rPr>
        <w:softHyphen/>
      </w:r>
    </w:p>
    <w:p w:rsidR="002812C5" w:rsidRPr="0036325E" w:rsidRDefault="002812C5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t>lista rozwijana zawiera:</w:t>
      </w:r>
    </w:p>
    <w:p w:rsidR="002812C5" w:rsidRPr="0036325E" w:rsidRDefault="002812C5" w:rsidP="00B1570D">
      <w:pPr>
        <w:pStyle w:val="Akapitzlist"/>
        <w:numPr>
          <w:ilvl w:val="0"/>
          <w:numId w:val="10"/>
        </w:numPr>
        <w:spacing w:after="0"/>
        <w:jc w:val="both"/>
        <w:rPr>
          <w:rFonts w:cs="Arial"/>
        </w:rPr>
      </w:pPr>
      <w:r w:rsidRPr="0036325E">
        <w:rPr>
          <w:rFonts w:cs="Arial"/>
        </w:rPr>
        <w:t>3  kategorie określające sposób zawarcia umowy (w lokalu/bez znaczenia, na odległość, poza lokalem)</w:t>
      </w:r>
    </w:p>
    <w:p w:rsidR="002812C5" w:rsidRPr="0036325E" w:rsidRDefault="002812C5" w:rsidP="00B1570D">
      <w:pPr>
        <w:pStyle w:val="Akapitzlist"/>
        <w:numPr>
          <w:ilvl w:val="0"/>
          <w:numId w:val="10"/>
        </w:numPr>
        <w:spacing w:after="0"/>
        <w:jc w:val="both"/>
        <w:rPr>
          <w:rFonts w:cs="Arial"/>
        </w:rPr>
      </w:pPr>
      <w:r w:rsidRPr="0036325E">
        <w:rPr>
          <w:rFonts w:cs="Arial"/>
        </w:rPr>
        <w:t xml:space="preserve">2 pozycje dodatkowe (informacje ogólne, niekonsumenckie). </w:t>
      </w:r>
    </w:p>
    <w:p w:rsidR="002812C5" w:rsidRPr="0036325E" w:rsidRDefault="002812C5" w:rsidP="00B1570D">
      <w:pPr>
        <w:spacing w:after="0"/>
        <w:ind w:left="1068"/>
        <w:jc w:val="both"/>
        <w:rPr>
          <w:rFonts w:cs="Arial"/>
        </w:rPr>
      </w:pPr>
      <w:r w:rsidRPr="0036325E">
        <w:rPr>
          <w:rFonts w:cs="Arial"/>
        </w:rPr>
        <w:t xml:space="preserve">Wybór jednej z pozycji dodatkowych </w:t>
      </w:r>
      <w:r w:rsidRPr="00C64339">
        <w:rPr>
          <w:rFonts w:cs="Arial"/>
          <w:u w:val="single"/>
        </w:rPr>
        <w:t>kończy klasyfikację</w:t>
      </w:r>
      <w:r w:rsidRPr="0036325E">
        <w:rPr>
          <w:rFonts w:cs="Arial"/>
        </w:rPr>
        <w:t xml:space="preserve"> (brak uzasadnienia dla dalszej klasyfikacji spraw niekonsumenckich lub informacji w sprawach ogólnych) </w:t>
      </w:r>
    </w:p>
    <w:p w:rsidR="002812C5" w:rsidRPr="0036325E" w:rsidRDefault="002812C5" w:rsidP="00B1570D">
      <w:pPr>
        <w:spacing w:after="0"/>
        <w:ind w:left="708"/>
        <w:jc w:val="both"/>
        <w:rPr>
          <w:rFonts w:cs="Arial"/>
        </w:rPr>
      </w:pPr>
    </w:p>
    <w:p w:rsidR="00EF34B8" w:rsidRPr="00790FFF" w:rsidRDefault="00120B3A" w:rsidP="00790FFF">
      <w:pPr>
        <w:pStyle w:val="Akapitzlist"/>
        <w:numPr>
          <w:ilvl w:val="0"/>
          <w:numId w:val="16"/>
        </w:numPr>
        <w:spacing w:after="0"/>
        <w:ind w:hanging="367"/>
        <w:jc w:val="both"/>
        <w:rPr>
          <w:rFonts w:cs="Arial"/>
        </w:rPr>
      </w:pPr>
      <w:r w:rsidRPr="00790FFF">
        <w:rPr>
          <w:rFonts w:cs="Arial"/>
          <w:u w:val="single"/>
        </w:rPr>
        <w:t>pole [</w:t>
      </w:r>
      <w:r w:rsidR="00D47717" w:rsidRPr="00790FFF">
        <w:rPr>
          <w:rFonts w:cs="Arial"/>
          <w:u w:val="single"/>
        </w:rPr>
        <w:t>B. informacje sektorowe]</w:t>
      </w:r>
      <w:r w:rsidR="00750D30" w:rsidRPr="00790FFF">
        <w:rPr>
          <w:rFonts w:cs="Arial"/>
        </w:rPr>
        <w:t>:</w:t>
      </w:r>
      <w:r w:rsidR="00790FFF">
        <w:rPr>
          <w:rFonts w:cs="Arial"/>
        </w:rPr>
        <w:t xml:space="preserve"> </w:t>
      </w:r>
      <w:r w:rsidRPr="00790FFF">
        <w:rPr>
          <w:rFonts w:cs="Arial"/>
        </w:rPr>
        <w:t>należy</w:t>
      </w:r>
      <w:r w:rsidR="00D47717" w:rsidRPr="00790FFF">
        <w:rPr>
          <w:rFonts w:cs="Arial"/>
        </w:rPr>
        <w:t xml:space="preserve"> wypełnić dokonując</w:t>
      </w:r>
      <w:r w:rsidRPr="00790FFF">
        <w:rPr>
          <w:rFonts w:cs="Arial"/>
        </w:rPr>
        <w:t xml:space="preserve"> wyboru </w:t>
      </w:r>
      <w:r w:rsidR="00D47717" w:rsidRPr="00790FFF">
        <w:rPr>
          <w:rFonts w:cs="Arial"/>
        </w:rPr>
        <w:t xml:space="preserve">pozycji </w:t>
      </w:r>
      <w:r w:rsidRPr="00790FFF">
        <w:rPr>
          <w:rFonts w:cs="Arial"/>
          <w:u w:val="single"/>
        </w:rPr>
        <w:t>z listy rozwijanej</w:t>
      </w:r>
      <w:r w:rsidRPr="00790FFF">
        <w:rPr>
          <w:rFonts w:cs="Arial"/>
        </w:rPr>
        <w:t>.</w:t>
      </w:r>
    </w:p>
    <w:p w:rsidR="0033506E" w:rsidRPr="0036325E" w:rsidRDefault="00544397" w:rsidP="00C64339">
      <w:pPr>
        <w:spacing w:after="0"/>
        <w:ind w:left="709"/>
        <w:jc w:val="both"/>
        <w:rPr>
          <w:rFonts w:cs="Arial"/>
        </w:rPr>
      </w:pPr>
      <w:r w:rsidRPr="0036325E">
        <w:rPr>
          <w:rFonts w:cs="Arial"/>
        </w:rPr>
        <w:t>lista zawier</w:t>
      </w:r>
      <w:r w:rsidR="00E8375E" w:rsidRPr="0036325E">
        <w:rPr>
          <w:rFonts w:cs="Arial"/>
        </w:rPr>
        <w:t>a 23 kategorie sektorowe (</w:t>
      </w:r>
      <w:r w:rsidR="00C64339">
        <w:rPr>
          <w:rFonts w:cs="Arial"/>
        </w:rPr>
        <w:t xml:space="preserve">w widoku listy widoczne </w:t>
      </w:r>
      <w:r w:rsidR="00E8375E" w:rsidRPr="0036325E">
        <w:rPr>
          <w:rFonts w:cs="Arial"/>
        </w:rPr>
        <w:t xml:space="preserve">8 </w:t>
      </w:r>
      <w:r w:rsidR="00C64339">
        <w:rPr>
          <w:rFonts w:cs="Arial"/>
        </w:rPr>
        <w:t xml:space="preserve">pozycji </w:t>
      </w:r>
      <w:r w:rsidR="00E8375E" w:rsidRPr="0036325E">
        <w:rPr>
          <w:rFonts w:cs="Arial"/>
        </w:rPr>
        <w:t>– pozostałe widoczne po przewinięciu suwakiem)</w:t>
      </w:r>
    </w:p>
    <w:p w:rsidR="00E8375E" w:rsidRPr="0036325E" w:rsidRDefault="00E8375E" w:rsidP="00B1570D">
      <w:pPr>
        <w:spacing w:after="0"/>
        <w:ind w:left="993" w:hanging="284"/>
        <w:jc w:val="both"/>
        <w:rPr>
          <w:rFonts w:cs="Arial"/>
        </w:rPr>
      </w:pPr>
    </w:p>
    <w:p w:rsidR="00E8375E" w:rsidRPr="0036325E" w:rsidRDefault="00E8375E" w:rsidP="00B1570D">
      <w:pPr>
        <w:spacing w:after="0"/>
        <w:ind w:left="993" w:hanging="284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13A9AF13" wp14:editId="6FAE1DBA">
            <wp:extent cx="5207247" cy="2026508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13" cy="20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C5" w:rsidRPr="0036325E" w:rsidRDefault="002812C5" w:rsidP="00B1570D">
      <w:pPr>
        <w:spacing w:after="0"/>
        <w:ind w:left="426"/>
        <w:jc w:val="both"/>
        <w:rPr>
          <w:rFonts w:cs="Arial"/>
        </w:rPr>
      </w:pPr>
    </w:p>
    <w:p w:rsidR="0033506E" w:rsidRPr="0036325E" w:rsidRDefault="0033506E" w:rsidP="00B1570D">
      <w:pPr>
        <w:spacing w:after="0"/>
        <w:ind w:left="993" w:hanging="284"/>
        <w:jc w:val="both"/>
        <w:rPr>
          <w:rFonts w:cs="Arial"/>
        </w:rPr>
      </w:pPr>
      <w:r w:rsidRPr="0036325E">
        <w:rPr>
          <w:rFonts w:cs="Arial"/>
        </w:rPr>
        <w:t xml:space="preserve">W celu zachowania jednolitości klasyfikacji spraw przez wszystkich rzeczników w kraju przy klasyfikacji sektorowej należy jako regułę interpretacyjną </w:t>
      </w:r>
      <w:r w:rsidR="00C64339" w:rsidRPr="0036325E">
        <w:rPr>
          <w:rFonts w:cs="Arial"/>
        </w:rPr>
        <w:t xml:space="preserve">stosować </w:t>
      </w:r>
      <w:r w:rsidRPr="0036325E">
        <w:rPr>
          <w:rFonts w:cs="Arial"/>
        </w:rPr>
        <w:t xml:space="preserve">klasyfikację spraw </w:t>
      </w:r>
      <w:r w:rsidRPr="0036325E">
        <w:rPr>
          <w:rFonts w:cs="Arial"/>
          <w:bCs/>
        </w:rPr>
        <w:t xml:space="preserve">ustaloną </w:t>
      </w:r>
      <w:r w:rsidRPr="0036325E">
        <w:rPr>
          <w:rFonts w:cs="Arial"/>
        </w:rPr>
        <w:t xml:space="preserve">Zaleceniami Komisji Europejskiej z dnia 12 maja 2010 r. </w:t>
      </w:r>
      <w:r w:rsidRPr="0036325E">
        <w:rPr>
          <w:rFonts w:cs="Arial"/>
          <w:bCs/>
        </w:rPr>
        <w:t xml:space="preserve">w sprawie zharmonizowanej metodologii  klasyfikacji i zgłaszania skarg i zapytań konsumentów </w:t>
      </w:r>
      <w:r w:rsidRPr="0036325E">
        <w:rPr>
          <w:rFonts w:cs="Arial"/>
        </w:rPr>
        <w:t xml:space="preserve">(DZ. U. UE 2.6.2010). </w:t>
      </w:r>
      <w:r w:rsidR="00C64339">
        <w:rPr>
          <w:rFonts w:cs="Arial"/>
        </w:rPr>
        <w:br/>
      </w:r>
      <w:r w:rsidRPr="0036325E">
        <w:rPr>
          <w:rFonts w:cs="Arial"/>
        </w:rPr>
        <w:t xml:space="preserve">W celu ułatwienia korzystania z niej opracowano </w:t>
      </w:r>
      <w:r w:rsidRPr="00C64339">
        <w:rPr>
          <w:rFonts w:cs="Arial"/>
          <w:u w:val="single"/>
        </w:rPr>
        <w:t>wyciąg z zaleceń</w:t>
      </w:r>
      <w:r w:rsidR="003078A4" w:rsidRPr="0036325E">
        <w:rPr>
          <w:rFonts w:cs="Arial"/>
        </w:rPr>
        <w:t xml:space="preserve"> dostosowanych do przyjętych kategorii sektorowych. Wyciąg ten </w:t>
      </w:r>
      <w:r w:rsidRPr="0036325E">
        <w:rPr>
          <w:rFonts w:cs="Arial"/>
        </w:rPr>
        <w:t xml:space="preserve">znajduje się w </w:t>
      </w:r>
      <w:r w:rsidRPr="00C64339">
        <w:rPr>
          <w:rFonts w:cs="Arial"/>
          <w:u w:val="single"/>
        </w:rPr>
        <w:t>arkuszu [kategorie sektorowe].</w:t>
      </w:r>
      <w:r w:rsidRPr="0036325E">
        <w:rPr>
          <w:rFonts w:cs="Arial"/>
        </w:rPr>
        <w:t xml:space="preserve"> </w:t>
      </w:r>
    </w:p>
    <w:p w:rsidR="000416D6" w:rsidRPr="0036325E" w:rsidRDefault="000416D6" w:rsidP="00B1570D">
      <w:pPr>
        <w:spacing w:after="0"/>
        <w:jc w:val="both"/>
        <w:rPr>
          <w:rFonts w:cs="Arial"/>
        </w:rPr>
      </w:pPr>
    </w:p>
    <w:p w:rsidR="00D47717" w:rsidRPr="00790FFF" w:rsidRDefault="00D47717" w:rsidP="00750D30">
      <w:pPr>
        <w:pStyle w:val="Akapitzlist"/>
        <w:numPr>
          <w:ilvl w:val="0"/>
          <w:numId w:val="16"/>
        </w:numPr>
        <w:spacing w:after="0"/>
        <w:ind w:left="1004"/>
        <w:jc w:val="both"/>
        <w:rPr>
          <w:rFonts w:cs="Arial"/>
        </w:rPr>
      </w:pPr>
      <w:r w:rsidRPr="00790FFF">
        <w:rPr>
          <w:rFonts w:cs="Arial"/>
          <w:u w:val="single"/>
        </w:rPr>
        <w:t>pole [C. główny problem]</w:t>
      </w:r>
      <w:r w:rsidR="00750D30" w:rsidRPr="00790FFF">
        <w:rPr>
          <w:rFonts w:cs="Arial"/>
        </w:rPr>
        <w:t>:</w:t>
      </w:r>
      <w:r w:rsidR="00790FFF">
        <w:rPr>
          <w:rFonts w:cs="Arial"/>
        </w:rPr>
        <w:t xml:space="preserve"> </w:t>
      </w:r>
      <w:r w:rsidRPr="00790FFF">
        <w:rPr>
          <w:rFonts w:cs="Arial"/>
        </w:rPr>
        <w:t xml:space="preserve">należy wypełnić dokonując wyboru pozycji </w:t>
      </w:r>
      <w:r w:rsidRPr="00790FFF">
        <w:rPr>
          <w:rFonts w:cs="Arial"/>
          <w:u w:val="single"/>
        </w:rPr>
        <w:t>z listy rozwijanej</w:t>
      </w:r>
      <w:r w:rsidRPr="00790FFF">
        <w:rPr>
          <w:rFonts w:cs="Arial"/>
        </w:rPr>
        <w:t>.</w:t>
      </w:r>
    </w:p>
    <w:p w:rsidR="00E8375E" w:rsidRPr="0036325E" w:rsidRDefault="00E8375E" w:rsidP="00B1570D">
      <w:pPr>
        <w:pStyle w:val="Akapitzlist"/>
        <w:spacing w:after="0"/>
        <w:jc w:val="both"/>
        <w:rPr>
          <w:rFonts w:cs="Arial"/>
        </w:rPr>
      </w:pPr>
    </w:p>
    <w:p w:rsidR="00E8375E" w:rsidRPr="0036325E" w:rsidRDefault="00E8375E" w:rsidP="00750D30">
      <w:pPr>
        <w:pStyle w:val="Akapitzlist"/>
        <w:spacing w:after="0"/>
        <w:ind w:left="360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05B760C2" wp14:editId="6707B370">
            <wp:extent cx="5758180" cy="192786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D6" w:rsidRPr="0036325E" w:rsidRDefault="000416D6" w:rsidP="00B1570D">
      <w:pPr>
        <w:spacing w:after="0"/>
        <w:ind w:firstLine="708"/>
        <w:jc w:val="both"/>
        <w:rPr>
          <w:rFonts w:cs="Arial"/>
        </w:rPr>
      </w:pPr>
    </w:p>
    <w:p w:rsidR="000416D6" w:rsidRPr="0036325E" w:rsidRDefault="000416D6" w:rsidP="00B1570D">
      <w:pPr>
        <w:spacing w:after="0"/>
        <w:ind w:firstLine="708"/>
        <w:jc w:val="both"/>
        <w:rPr>
          <w:rFonts w:cs="Arial"/>
        </w:rPr>
      </w:pPr>
      <w:r w:rsidRPr="0036325E">
        <w:rPr>
          <w:rFonts w:cs="Arial"/>
        </w:rPr>
        <w:t xml:space="preserve">Klasyfikacja powinna uwzględniać </w:t>
      </w:r>
      <w:r w:rsidRPr="0036325E">
        <w:rPr>
          <w:rFonts w:cs="Arial"/>
          <w:u w:val="single"/>
        </w:rPr>
        <w:t>tylko jeden kluczowy dla sprawy</w:t>
      </w:r>
      <w:r w:rsidR="00D47717" w:rsidRPr="0036325E">
        <w:rPr>
          <w:rFonts w:cs="Arial"/>
          <w:u w:val="single"/>
        </w:rPr>
        <w:t xml:space="preserve"> problem</w:t>
      </w:r>
      <w:r w:rsidRPr="0036325E">
        <w:rPr>
          <w:rFonts w:cs="Arial"/>
        </w:rPr>
        <w:t xml:space="preserve">. </w:t>
      </w:r>
    </w:p>
    <w:p w:rsidR="00E8375E" w:rsidRPr="0036325E" w:rsidRDefault="00E8375E" w:rsidP="00B1570D">
      <w:pPr>
        <w:pStyle w:val="Akapitzlist"/>
        <w:spacing w:after="0"/>
        <w:jc w:val="both"/>
        <w:rPr>
          <w:rFonts w:cs="Arial"/>
        </w:rPr>
      </w:pPr>
    </w:p>
    <w:p w:rsidR="00AB1BEF" w:rsidRPr="0036325E" w:rsidRDefault="00AB1BEF" w:rsidP="00B1570D">
      <w:pPr>
        <w:pStyle w:val="Akapitzlist"/>
        <w:spacing w:after="0"/>
        <w:jc w:val="both"/>
        <w:rPr>
          <w:rFonts w:cs="Arial"/>
        </w:rPr>
      </w:pPr>
      <w:r w:rsidRPr="0036325E">
        <w:rPr>
          <w:rFonts w:cs="Arial"/>
        </w:rPr>
        <w:t>Przyjęto 5 kategorii:</w:t>
      </w:r>
    </w:p>
    <w:p w:rsidR="002812C5" w:rsidRPr="0036325E" w:rsidRDefault="002812C5" w:rsidP="00B1570D">
      <w:pPr>
        <w:spacing w:after="0"/>
        <w:ind w:left="1418" w:hanging="425"/>
        <w:jc w:val="both"/>
        <w:rPr>
          <w:rFonts w:cs="Arial"/>
        </w:rPr>
      </w:pPr>
      <w:r w:rsidRPr="0036325E">
        <w:rPr>
          <w:rFonts w:cs="Arial"/>
          <w:bCs/>
          <w:u w:val="single"/>
        </w:rPr>
        <w:t>rozwiązanie umowy (odstąpienie , wypowiedzenie, wygaśnięcie)</w:t>
      </w:r>
      <w:r w:rsidR="00AB1BEF" w:rsidRPr="0036325E">
        <w:rPr>
          <w:rFonts w:cs="Arial"/>
          <w:bCs/>
          <w:u w:val="single"/>
        </w:rPr>
        <w:t>:</w:t>
      </w:r>
      <w:r w:rsidR="00AB1BEF" w:rsidRPr="0036325E">
        <w:rPr>
          <w:rFonts w:cs="Arial"/>
          <w:bCs/>
        </w:rPr>
        <w:t xml:space="preserve"> dotyczy spraw na tle ustania umowy i jego konsekwencji, np. spory na tle skuteczności odstąpienia od umowy, rozliczenia  będącego efektem odstąpienia od umowy lub wypowiedzenia umowy, itp.</w:t>
      </w:r>
    </w:p>
    <w:p w:rsidR="002812C5" w:rsidRPr="0036325E" w:rsidRDefault="002812C5" w:rsidP="00B1570D">
      <w:pPr>
        <w:spacing w:after="0"/>
        <w:ind w:left="1418" w:hanging="425"/>
        <w:jc w:val="both"/>
        <w:rPr>
          <w:rFonts w:cs="Arial"/>
        </w:rPr>
      </w:pPr>
      <w:r w:rsidRPr="0036325E">
        <w:rPr>
          <w:rFonts w:cs="Arial"/>
          <w:bCs/>
          <w:u w:val="single"/>
        </w:rPr>
        <w:t>wady towarów i nienależyte wykonanie umowy</w:t>
      </w:r>
      <w:r w:rsidR="00AB1BEF" w:rsidRPr="0036325E">
        <w:rPr>
          <w:rFonts w:cs="Arial"/>
          <w:bCs/>
          <w:u w:val="single"/>
        </w:rPr>
        <w:t>:</w:t>
      </w:r>
      <w:r w:rsidR="00AB1BEF" w:rsidRPr="0036325E">
        <w:rPr>
          <w:rFonts w:cs="Arial"/>
          <w:bCs/>
        </w:rPr>
        <w:t xml:space="preserve"> sprawy dot. rękojmi i gwarancji </w:t>
      </w:r>
      <w:r w:rsidR="00D47717" w:rsidRPr="0036325E">
        <w:rPr>
          <w:rFonts w:cs="Arial"/>
          <w:bCs/>
        </w:rPr>
        <w:t>na towary</w:t>
      </w:r>
      <w:r w:rsidR="00AB1BEF" w:rsidRPr="0036325E">
        <w:rPr>
          <w:rFonts w:cs="Arial"/>
          <w:bCs/>
        </w:rPr>
        <w:t xml:space="preserve">, spory dot. wadliwie wykonywanej </w:t>
      </w:r>
      <w:r w:rsidR="00D47717" w:rsidRPr="0036325E">
        <w:rPr>
          <w:rFonts w:cs="Arial"/>
          <w:bCs/>
        </w:rPr>
        <w:t xml:space="preserve">lub </w:t>
      </w:r>
      <w:r w:rsidR="00AB1BEF" w:rsidRPr="0036325E">
        <w:rPr>
          <w:rFonts w:cs="Arial"/>
          <w:bCs/>
        </w:rPr>
        <w:t xml:space="preserve">wykonanej usługi, spory na tle nieprawidłowego rozliczenia </w:t>
      </w:r>
      <w:r w:rsidR="00D47717" w:rsidRPr="0036325E">
        <w:rPr>
          <w:rFonts w:cs="Arial"/>
          <w:bCs/>
        </w:rPr>
        <w:t xml:space="preserve">w toku świadczonych usług </w:t>
      </w:r>
      <w:r w:rsidR="00AB1BEF" w:rsidRPr="0036325E">
        <w:rPr>
          <w:rFonts w:cs="Arial"/>
          <w:bCs/>
        </w:rPr>
        <w:t xml:space="preserve">itp. </w:t>
      </w:r>
    </w:p>
    <w:p w:rsidR="002812C5" w:rsidRPr="0036325E" w:rsidRDefault="002812C5" w:rsidP="00B1570D">
      <w:pPr>
        <w:spacing w:after="0"/>
        <w:ind w:left="1418" w:hanging="425"/>
        <w:jc w:val="both"/>
        <w:rPr>
          <w:rFonts w:cs="Arial"/>
        </w:rPr>
      </w:pPr>
      <w:r w:rsidRPr="0036325E">
        <w:rPr>
          <w:rFonts w:cs="Arial"/>
          <w:bCs/>
          <w:u w:val="single"/>
        </w:rPr>
        <w:t>nieuczciwe praktyki rynkowe i wady czynności prawnych</w:t>
      </w:r>
      <w:r w:rsidR="00AB1BEF" w:rsidRPr="0036325E">
        <w:rPr>
          <w:rFonts w:cs="Arial"/>
          <w:bCs/>
        </w:rPr>
        <w:t xml:space="preserve">: sprawy dot. nieuczciwych praktyk rynkowych albo umów zawartych na skutek </w:t>
      </w:r>
      <w:r w:rsidR="00D47717" w:rsidRPr="0036325E">
        <w:rPr>
          <w:rFonts w:cs="Arial"/>
          <w:bCs/>
        </w:rPr>
        <w:t xml:space="preserve">złożenia </w:t>
      </w:r>
      <w:r w:rsidR="00AB1BEF" w:rsidRPr="0036325E">
        <w:rPr>
          <w:rFonts w:cs="Arial"/>
          <w:bCs/>
        </w:rPr>
        <w:t xml:space="preserve">wadliwych oświadczeń woli (art. 82-88 kc) </w:t>
      </w:r>
    </w:p>
    <w:p w:rsidR="002812C5" w:rsidRPr="0036325E" w:rsidRDefault="002812C5" w:rsidP="00B1570D">
      <w:pPr>
        <w:spacing w:after="0"/>
        <w:ind w:left="1418" w:hanging="425"/>
        <w:jc w:val="both"/>
        <w:rPr>
          <w:rFonts w:cs="Arial"/>
        </w:rPr>
      </w:pPr>
      <w:r w:rsidRPr="0036325E">
        <w:rPr>
          <w:rFonts w:cs="Arial"/>
          <w:bCs/>
          <w:u w:val="single"/>
        </w:rPr>
        <w:t>warunki umów, ni</w:t>
      </w:r>
      <w:r w:rsidR="00AB1BEF" w:rsidRPr="0036325E">
        <w:rPr>
          <w:rFonts w:cs="Arial"/>
          <w:bCs/>
          <w:u w:val="single"/>
        </w:rPr>
        <w:t>edozwolone postanowienia umowne</w:t>
      </w:r>
      <w:r w:rsidR="00AB1BEF" w:rsidRPr="0036325E">
        <w:rPr>
          <w:rFonts w:cs="Arial"/>
          <w:bCs/>
        </w:rPr>
        <w:t xml:space="preserve">: sprawy dotyczące </w:t>
      </w:r>
      <w:r w:rsidR="00D47717" w:rsidRPr="0036325E">
        <w:rPr>
          <w:rFonts w:cs="Arial"/>
          <w:bCs/>
        </w:rPr>
        <w:t>ustalenia warunków</w:t>
      </w:r>
      <w:r w:rsidR="00AB1BEF" w:rsidRPr="0036325E">
        <w:rPr>
          <w:rFonts w:cs="Arial"/>
          <w:bCs/>
        </w:rPr>
        <w:t xml:space="preserve">, </w:t>
      </w:r>
      <w:r w:rsidR="000416D6" w:rsidRPr="0036325E">
        <w:rPr>
          <w:rFonts w:cs="Arial"/>
          <w:bCs/>
        </w:rPr>
        <w:t xml:space="preserve">sprawy dot. </w:t>
      </w:r>
      <w:r w:rsidR="00AB1BEF" w:rsidRPr="0036325E">
        <w:rPr>
          <w:rFonts w:cs="Arial"/>
          <w:bCs/>
        </w:rPr>
        <w:t xml:space="preserve">sporu na tle interpretacji zapisów umownych, </w:t>
      </w:r>
      <w:r w:rsidR="000416D6" w:rsidRPr="0036325E">
        <w:rPr>
          <w:rFonts w:cs="Arial"/>
          <w:bCs/>
        </w:rPr>
        <w:t xml:space="preserve">sprawy dot. </w:t>
      </w:r>
      <w:r w:rsidR="00AB1BEF" w:rsidRPr="0036325E">
        <w:rPr>
          <w:rFonts w:cs="Arial"/>
          <w:bCs/>
        </w:rPr>
        <w:t xml:space="preserve">niedozwolonych postanowień umownych </w:t>
      </w:r>
    </w:p>
    <w:p w:rsidR="002812C5" w:rsidRPr="0036325E" w:rsidRDefault="000416D6" w:rsidP="00B1570D">
      <w:pPr>
        <w:spacing w:after="0"/>
        <w:ind w:left="1418" w:hanging="425"/>
        <w:jc w:val="both"/>
        <w:rPr>
          <w:rFonts w:cs="Arial"/>
        </w:rPr>
      </w:pPr>
      <w:r w:rsidRPr="0036325E">
        <w:rPr>
          <w:rFonts w:cs="Arial"/>
          <w:bCs/>
          <w:u w:val="single"/>
        </w:rPr>
        <w:t xml:space="preserve">inne: </w:t>
      </w:r>
      <w:r w:rsidR="0036325E" w:rsidRPr="0036325E">
        <w:rPr>
          <w:rFonts w:cs="Arial"/>
          <w:bCs/>
        </w:rPr>
        <w:t xml:space="preserve">sprawy nie mieszczące się w kategoriach powyższych </w:t>
      </w:r>
    </w:p>
    <w:p w:rsidR="000416D6" w:rsidRPr="0036325E" w:rsidRDefault="000416D6" w:rsidP="00B1570D">
      <w:pPr>
        <w:spacing w:after="0"/>
        <w:jc w:val="both"/>
        <w:rPr>
          <w:rFonts w:cs="Arial"/>
        </w:rPr>
      </w:pPr>
    </w:p>
    <w:p w:rsidR="00EC6AB3" w:rsidRPr="0036325E" w:rsidRDefault="00E8375E" w:rsidP="00B1570D">
      <w:pPr>
        <w:spacing w:after="0"/>
        <w:ind w:left="708"/>
        <w:jc w:val="both"/>
        <w:rPr>
          <w:rFonts w:cs="Arial"/>
        </w:rPr>
      </w:pPr>
      <w:r w:rsidRPr="0036325E">
        <w:rPr>
          <w:rFonts w:cs="Arial"/>
        </w:rPr>
        <w:lastRenderedPageBreak/>
        <w:t>Dokonanie klasyfikacji sprawy w opisany powyżej sposób wymaga wpisania daty</w:t>
      </w:r>
      <w:r w:rsidR="00EC6AB3" w:rsidRPr="0036325E">
        <w:rPr>
          <w:rFonts w:cs="Arial"/>
        </w:rPr>
        <w:t xml:space="preserve"> i dokonania wyboru właściwych pozycji z list rozwijanych </w:t>
      </w:r>
      <w:r w:rsidR="00EC6AB3" w:rsidRPr="00C64339">
        <w:rPr>
          <w:rFonts w:cs="Arial"/>
          <w:u w:val="single"/>
        </w:rPr>
        <w:t>trzema kliknięciami</w:t>
      </w:r>
      <w:r w:rsidR="005E0B03" w:rsidRPr="0036325E">
        <w:rPr>
          <w:rFonts w:cs="Arial"/>
        </w:rPr>
        <w:t>, co zajmuje klika sekund i możliwe jest w trakcie prowadzenia rozmowy z konsumentem lub bezpośrednio po niej</w:t>
      </w:r>
      <w:r w:rsidR="00EC6AB3" w:rsidRPr="0036325E">
        <w:rPr>
          <w:rFonts w:cs="Arial"/>
        </w:rPr>
        <w:t xml:space="preserve">. </w:t>
      </w:r>
    </w:p>
    <w:p w:rsidR="0074338B" w:rsidRPr="0036325E" w:rsidRDefault="0074338B" w:rsidP="00B1570D">
      <w:pPr>
        <w:pStyle w:val="Akapitzlist"/>
        <w:ind w:left="284"/>
        <w:jc w:val="both"/>
        <w:rPr>
          <w:rFonts w:cs="Arial"/>
        </w:rPr>
      </w:pPr>
    </w:p>
    <w:p w:rsidR="00C64339" w:rsidRDefault="0074338B" w:rsidP="00B1570D">
      <w:pPr>
        <w:pStyle w:val="Akapitzlist"/>
        <w:ind w:left="284"/>
        <w:jc w:val="both"/>
        <w:rPr>
          <w:rFonts w:cs="Arial"/>
        </w:rPr>
      </w:pPr>
      <w:r w:rsidRPr="00C64339">
        <w:rPr>
          <w:rFonts w:cs="Arial"/>
          <w:b/>
        </w:rPr>
        <w:t>Uwaga:</w:t>
      </w:r>
      <w:r w:rsidRPr="0036325E">
        <w:rPr>
          <w:rFonts w:cs="Arial"/>
        </w:rPr>
        <w:t xml:space="preserve"> tabela zawiera </w:t>
      </w:r>
      <w:r w:rsidRPr="00C64339">
        <w:rPr>
          <w:rFonts w:cs="Arial"/>
          <w:u w:val="single"/>
        </w:rPr>
        <w:t>3 ukryte kolumny</w:t>
      </w:r>
      <w:r w:rsidRPr="0036325E">
        <w:rPr>
          <w:rFonts w:cs="Arial"/>
        </w:rPr>
        <w:t xml:space="preserve"> </w:t>
      </w:r>
      <w:r w:rsidR="00C64339">
        <w:rPr>
          <w:rFonts w:cs="Arial"/>
        </w:rPr>
        <w:t>(</w:t>
      </w:r>
      <w:r w:rsidRPr="0036325E">
        <w:rPr>
          <w:rFonts w:cs="Arial"/>
        </w:rPr>
        <w:t>F, G, H</w:t>
      </w:r>
      <w:r w:rsidR="00C64339">
        <w:rPr>
          <w:rFonts w:cs="Arial"/>
        </w:rPr>
        <w:t>),</w:t>
      </w:r>
      <w:r w:rsidRPr="0036325E">
        <w:rPr>
          <w:rFonts w:cs="Arial"/>
        </w:rPr>
        <w:t xml:space="preserve"> których </w:t>
      </w:r>
      <w:r w:rsidRPr="00C64339">
        <w:rPr>
          <w:rFonts w:cs="Arial"/>
          <w:u w:val="single"/>
        </w:rPr>
        <w:t>nie należy usuwać</w:t>
      </w:r>
      <w:r w:rsidRPr="0036325E">
        <w:rPr>
          <w:rFonts w:cs="Arial"/>
        </w:rPr>
        <w:t xml:space="preserve">. </w:t>
      </w:r>
    </w:p>
    <w:p w:rsidR="0074338B" w:rsidRPr="0036325E" w:rsidRDefault="0074338B" w:rsidP="00B1570D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E8375E" w:rsidRPr="0036325E" w:rsidRDefault="00E8375E" w:rsidP="00B1570D">
      <w:pPr>
        <w:spacing w:after="0"/>
        <w:jc w:val="both"/>
        <w:rPr>
          <w:rFonts w:cs="Arial"/>
        </w:rPr>
      </w:pPr>
    </w:p>
    <w:p w:rsidR="00EF34B8" w:rsidRPr="00B1570D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B1570D">
        <w:rPr>
          <w:rFonts w:cs="Arial"/>
          <w:b/>
        </w:rPr>
        <w:t>informacje pisemne TAB 1.2</w:t>
      </w:r>
    </w:p>
    <w:p w:rsidR="000416D6" w:rsidRPr="0036325E" w:rsidRDefault="000416D6" w:rsidP="00C64339">
      <w:pPr>
        <w:ind w:left="567"/>
        <w:jc w:val="both"/>
        <w:rPr>
          <w:rFonts w:cs="Arial"/>
        </w:rPr>
      </w:pPr>
      <w:r w:rsidRPr="0036325E">
        <w:rPr>
          <w:rFonts w:cs="Arial"/>
        </w:rPr>
        <w:t xml:space="preserve">tabela służy do klasyfikowania spraw załatwianych pisemnie, w których Rzecznik nie znajduje podstaw, aby występować do przedsiębiorcy w trybie art.  </w:t>
      </w:r>
      <w:r w:rsidR="00EC6AB3" w:rsidRPr="0036325E">
        <w:rPr>
          <w:rFonts w:cs="Arial"/>
        </w:rPr>
        <w:t xml:space="preserve">42 ust 1 pkt 3 uokik </w:t>
      </w:r>
      <w:r w:rsidR="00C64339">
        <w:rPr>
          <w:rFonts w:cs="Arial"/>
        </w:rPr>
        <w:t>(</w:t>
      </w:r>
      <w:r w:rsidR="00C64339" w:rsidRPr="00C64339">
        <w:rPr>
          <w:rFonts w:cs="Arial"/>
          <w:u w:val="single"/>
        </w:rPr>
        <w:t>wyjaśnienia</w:t>
      </w:r>
      <w:r w:rsidR="00C64339">
        <w:rPr>
          <w:rFonts w:cs="Arial"/>
          <w:u w:val="single"/>
        </w:rPr>
        <w:t xml:space="preserve"> adresowane do</w:t>
      </w:r>
      <w:r w:rsidR="00C64339" w:rsidRPr="00C64339">
        <w:rPr>
          <w:rFonts w:cs="Arial"/>
          <w:u w:val="single"/>
        </w:rPr>
        <w:t xml:space="preserve"> konsumenta</w:t>
      </w:r>
      <w:r w:rsidR="00C64339">
        <w:rPr>
          <w:rFonts w:cs="Arial"/>
        </w:rPr>
        <w:t>).</w:t>
      </w:r>
    </w:p>
    <w:p w:rsidR="005E0B03" w:rsidRPr="0036325E" w:rsidRDefault="000416D6" w:rsidP="00C64339">
      <w:pPr>
        <w:ind w:left="1134" w:hanging="567"/>
        <w:jc w:val="both"/>
        <w:rPr>
          <w:rFonts w:cs="Arial"/>
        </w:rPr>
      </w:pPr>
      <w:r w:rsidRPr="0036325E">
        <w:rPr>
          <w:rFonts w:cs="Arial"/>
        </w:rPr>
        <w:t xml:space="preserve">zebranie danych wymaga </w:t>
      </w:r>
      <w:r w:rsidR="00EC6AB3" w:rsidRPr="0036325E">
        <w:rPr>
          <w:rFonts w:cs="Arial"/>
        </w:rPr>
        <w:t xml:space="preserve">dokonania </w:t>
      </w:r>
      <w:r w:rsidR="000475FA" w:rsidRPr="0036325E">
        <w:rPr>
          <w:rFonts w:cs="Arial"/>
        </w:rPr>
        <w:t>wypełnienia</w:t>
      </w:r>
      <w:r w:rsidR="005E0B03" w:rsidRPr="0036325E">
        <w:rPr>
          <w:rFonts w:cs="Arial"/>
        </w:rPr>
        <w:t>:</w:t>
      </w:r>
    </w:p>
    <w:p w:rsidR="009E2FAE" w:rsidRPr="0036325E" w:rsidRDefault="000475FA" w:rsidP="00C64339">
      <w:pPr>
        <w:pStyle w:val="Akapitzlist"/>
        <w:numPr>
          <w:ilvl w:val="0"/>
          <w:numId w:val="14"/>
        </w:numPr>
        <w:ind w:left="927"/>
        <w:jc w:val="both"/>
        <w:rPr>
          <w:rFonts w:cs="Arial"/>
        </w:rPr>
      </w:pPr>
      <w:r w:rsidRPr="00C64339">
        <w:rPr>
          <w:rFonts w:cs="Arial"/>
          <w:b/>
        </w:rPr>
        <w:t xml:space="preserve">pól </w:t>
      </w:r>
      <w:r w:rsidR="005E0B03" w:rsidRPr="00C64339">
        <w:rPr>
          <w:rFonts w:cs="Arial"/>
          <w:b/>
        </w:rPr>
        <w:t>umożliwiając</w:t>
      </w:r>
      <w:r w:rsidRPr="00C64339">
        <w:rPr>
          <w:rFonts w:cs="Arial"/>
          <w:b/>
        </w:rPr>
        <w:t>ych identyfikację</w:t>
      </w:r>
      <w:r w:rsidR="005E0B03" w:rsidRPr="00C64339">
        <w:rPr>
          <w:rFonts w:cs="Arial"/>
          <w:b/>
        </w:rPr>
        <w:t xml:space="preserve"> sprawy</w:t>
      </w:r>
      <w:r w:rsidR="00C64339">
        <w:rPr>
          <w:rFonts w:cs="Arial"/>
          <w:b/>
        </w:rPr>
        <w:t xml:space="preserve">: </w:t>
      </w:r>
      <w:r w:rsidR="005E0B03" w:rsidRPr="0036325E">
        <w:rPr>
          <w:rFonts w:cs="Arial"/>
        </w:rPr>
        <w:t>numer sprawy</w:t>
      </w:r>
      <w:r w:rsidR="00947E80" w:rsidRPr="0036325E">
        <w:rPr>
          <w:rFonts w:cs="Arial"/>
        </w:rPr>
        <w:t>,</w:t>
      </w:r>
      <w:r w:rsidR="005E0B03" w:rsidRPr="0036325E">
        <w:rPr>
          <w:rFonts w:cs="Arial"/>
        </w:rPr>
        <w:t xml:space="preserve"> imię i nazwisko konsument</w:t>
      </w:r>
      <w:r w:rsidR="00C64339">
        <w:rPr>
          <w:rFonts w:cs="Arial"/>
        </w:rPr>
        <w:t xml:space="preserve">a, nazwa przedsiębiorcy, uwagi. </w:t>
      </w:r>
    </w:p>
    <w:p w:rsidR="00947E80" w:rsidRPr="0036325E" w:rsidRDefault="009E2FAE" w:rsidP="00C64339">
      <w:pPr>
        <w:pStyle w:val="Akapitzlist"/>
        <w:ind w:left="927"/>
        <w:jc w:val="both"/>
        <w:rPr>
          <w:rFonts w:cs="Arial"/>
        </w:rPr>
      </w:pPr>
      <w:r w:rsidRPr="0036325E">
        <w:rPr>
          <w:rFonts w:cs="Arial"/>
        </w:rPr>
        <w:t xml:space="preserve">pola te </w:t>
      </w:r>
      <w:r w:rsidRPr="0036325E">
        <w:rPr>
          <w:rFonts w:cs="Arial"/>
          <w:u w:val="single"/>
        </w:rPr>
        <w:t>nie są obowiązkowe</w:t>
      </w:r>
      <w:r w:rsidRPr="0036325E">
        <w:rPr>
          <w:rFonts w:cs="Arial"/>
        </w:rPr>
        <w:t xml:space="preserve"> w tym sensie, że </w:t>
      </w:r>
      <w:r w:rsidRPr="0036325E">
        <w:rPr>
          <w:rFonts w:cs="Arial"/>
          <w:u w:val="single"/>
        </w:rPr>
        <w:t>nie mają żadnego znaczenia dla sprawozdawczości,</w:t>
      </w:r>
      <w:r w:rsidRPr="0036325E">
        <w:rPr>
          <w:rFonts w:cs="Arial"/>
        </w:rPr>
        <w:t xml:space="preserve"> a dane zebrane w tych polach nie są przekazywane, mogą natomiast być użyteczne w pracy rzecznika (ułatwiają </w:t>
      </w:r>
      <w:r w:rsidR="005E0B03" w:rsidRPr="0036325E">
        <w:rPr>
          <w:rFonts w:cs="Arial"/>
        </w:rPr>
        <w:t>identyfikację spraw związanych z działalnoś</w:t>
      </w:r>
      <w:r w:rsidRPr="0036325E">
        <w:rPr>
          <w:rFonts w:cs="Arial"/>
        </w:rPr>
        <w:t>cią konkretnego przedsiębiorcy)</w:t>
      </w:r>
    </w:p>
    <w:p w:rsidR="000475FA" w:rsidRPr="0036325E" w:rsidRDefault="000475FA" w:rsidP="00C64339">
      <w:pPr>
        <w:pStyle w:val="Akapitzlist"/>
        <w:ind w:left="1647"/>
        <w:jc w:val="both"/>
        <w:rPr>
          <w:rFonts w:cs="Arial"/>
        </w:rPr>
      </w:pPr>
    </w:p>
    <w:p w:rsidR="000475FA" w:rsidRPr="0036325E" w:rsidRDefault="000475FA" w:rsidP="00C64339">
      <w:pPr>
        <w:pStyle w:val="Akapitzlist"/>
        <w:numPr>
          <w:ilvl w:val="0"/>
          <w:numId w:val="14"/>
        </w:numPr>
        <w:ind w:left="927"/>
        <w:jc w:val="both"/>
        <w:rPr>
          <w:rFonts w:cs="Arial"/>
        </w:rPr>
      </w:pPr>
      <w:r w:rsidRPr="00C64339">
        <w:rPr>
          <w:rFonts w:cs="Arial"/>
          <w:b/>
        </w:rPr>
        <w:t>trzech pól</w:t>
      </w:r>
      <w:r w:rsidR="00947E80" w:rsidRPr="00C64339">
        <w:rPr>
          <w:rFonts w:cs="Arial"/>
          <w:b/>
        </w:rPr>
        <w:t xml:space="preserve"> klasyfikacyjn</w:t>
      </w:r>
      <w:r w:rsidR="00C64339">
        <w:rPr>
          <w:rFonts w:cs="Arial"/>
          <w:b/>
        </w:rPr>
        <w:t>ych</w:t>
      </w:r>
      <w:r w:rsidR="00947E80" w:rsidRPr="0036325E">
        <w:rPr>
          <w:rFonts w:cs="Arial"/>
        </w:rPr>
        <w:t xml:space="preserve">: [A. </w:t>
      </w:r>
      <w:r w:rsidR="009A11EF">
        <w:rPr>
          <w:rFonts w:cs="Arial"/>
        </w:rPr>
        <w:t>sposób</w:t>
      </w:r>
      <w:r w:rsidR="00947E80" w:rsidRPr="0036325E">
        <w:rPr>
          <w:rFonts w:cs="Arial"/>
        </w:rPr>
        <w:t xml:space="preserve"> zawarcia umowy], [B. informacje sektorowe], [C. główny problem]</w:t>
      </w:r>
      <w:r w:rsidRPr="0036325E">
        <w:rPr>
          <w:rFonts w:cs="Arial"/>
        </w:rPr>
        <w:t xml:space="preserve"> poprzez dokonanie wyboru właściwej pozycji z </w:t>
      </w:r>
      <w:r w:rsidRPr="0036325E">
        <w:rPr>
          <w:rFonts w:cs="Arial"/>
          <w:u w:val="single"/>
        </w:rPr>
        <w:t>listy rozwijanej</w:t>
      </w:r>
      <w:r w:rsidRPr="0036325E">
        <w:rPr>
          <w:rFonts w:cs="Arial"/>
        </w:rPr>
        <w:t xml:space="preserve">. </w:t>
      </w:r>
    </w:p>
    <w:p w:rsidR="000475FA" w:rsidRPr="0036325E" w:rsidRDefault="000475FA" w:rsidP="00B1570D">
      <w:pPr>
        <w:pStyle w:val="Akapitzlist"/>
        <w:ind w:left="426"/>
        <w:jc w:val="both"/>
        <w:rPr>
          <w:rFonts w:cs="Arial"/>
        </w:rPr>
      </w:pPr>
    </w:p>
    <w:p w:rsidR="000F3F6C" w:rsidRPr="0036325E" w:rsidRDefault="000F3F6C" w:rsidP="00B1570D">
      <w:pPr>
        <w:pStyle w:val="Akapitzlist"/>
        <w:spacing w:after="0"/>
        <w:ind w:left="0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63634146" wp14:editId="71CC04AD">
            <wp:extent cx="5965364" cy="199355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07" cy="199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5E" w:rsidRPr="0036325E" w:rsidRDefault="0036325E" w:rsidP="00B1570D">
      <w:pPr>
        <w:jc w:val="both"/>
        <w:rPr>
          <w:rFonts w:cs="Arial"/>
        </w:rPr>
      </w:pPr>
    </w:p>
    <w:p w:rsidR="00750D30" w:rsidRDefault="0036325E" w:rsidP="00750D30">
      <w:pPr>
        <w:spacing w:after="0"/>
        <w:jc w:val="both"/>
        <w:rPr>
          <w:rFonts w:cs="Arial"/>
        </w:rPr>
      </w:pPr>
      <w:r w:rsidRPr="00750D30">
        <w:rPr>
          <w:rFonts w:cs="Arial"/>
          <w:b/>
        </w:rPr>
        <w:t>Uwaga:</w:t>
      </w:r>
      <w:r w:rsidRPr="0036325E">
        <w:rPr>
          <w:rFonts w:cs="Arial"/>
        </w:rPr>
        <w:t xml:space="preserve"> tabela zawiera </w:t>
      </w:r>
      <w:r w:rsidRPr="00750D30">
        <w:rPr>
          <w:rFonts w:cs="Arial"/>
          <w:u w:val="single"/>
        </w:rPr>
        <w:t>3 ukryte kolumny, których nie należy usuwać</w:t>
      </w:r>
      <w:r w:rsidRPr="0036325E">
        <w:rPr>
          <w:rFonts w:cs="Arial"/>
        </w:rPr>
        <w:t xml:space="preserve">. </w:t>
      </w:r>
    </w:p>
    <w:p w:rsidR="0036325E" w:rsidRDefault="0036325E" w:rsidP="00750D30">
      <w:pPr>
        <w:spacing w:after="0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B1570D" w:rsidRPr="0036325E" w:rsidRDefault="00B1570D" w:rsidP="00B1570D">
      <w:pPr>
        <w:jc w:val="both"/>
        <w:rPr>
          <w:rFonts w:cs="Arial"/>
        </w:rPr>
      </w:pPr>
    </w:p>
    <w:p w:rsidR="00EF34B8" w:rsidRPr="0036325E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>wystąpienia TAB 2</w:t>
      </w:r>
    </w:p>
    <w:p w:rsidR="000475FA" w:rsidRPr="0036325E" w:rsidRDefault="000475FA" w:rsidP="00B1570D">
      <w:pPr>
        <w:jc w:val="both"/>
        <w:rPr>
          <w:rFonts w:cs="Arial"/>
        </w:rPr>
      </w:pPr>
      <w:r w:rsidRPr="0036325E">
        <w:rPr>
          <w:rFonts w:cs="Arial"/>
        </w:rPr>
        <w:t>tabela służy do klasyfikowania załatwianych pisemnie</w:t>
      </w:r>
      <w:r w:rsidR="00750D30" w:rsidRPr="00750D30">
        <w:rPr>
          <w:rFonts w:cs="Arial"/>
        </w:rPr>
        <w:t xml:space="preserve"> </w:t>
      </w:r>
      <w:r w:rsidR="00750D30" w:rsidRPr="00750D30">
        <w:rPr>
          <w:rFonts w:cs="Arial"/>
          <w:u w:val="single"/>
        </w:rPr>
        <w:t>spraw</w:t>
      </w:r>
      <w:r w:rsidRPr="00750D30">
        <w:rPr>
          <w:rFonts w:cs="Arial"/>
          <w:u w:val="single"/>
        </w:rPr>
        <w:t xml:space="preserve">, w których Rzecznik występuje do przedsiębiorcy </w:t>
      </w:r>
      <w:r w:rsidRPr="0036325E">
        <w:rPr>
          <w:rFonts w:cs="Arial"/>
        </w:rPr>
        <w:t xml:space="preserve">w trybie art.  42 ust 1 pkt 3 uokik </w:t>
      </w:r>
    </w:p>
    <w:p w:rsidR="00750D30" w:rsidRDefault="000475FA" w:rsidP="00750D30">
      <w:pPr>
        <w:ind w:left="142"/>
        <w:jc w:val="both"/>
        <w:rPr>
          <w:rFonts w:cs="Arial"/>
          <w:u w:val="single"/>
        </w:rPr>
      </w:pPr>
      <w:r w:rsidRPr="0036325E">
        <w:rPr>
          <w:rFonts w:cs="Arial"/>
        </w:rPr>
        <w:t xml:space="preserve">zebranie danych </w:t>
      </w:r>
      <w:r w:rsidR="00DC2165" w:rsidRPr="0036325E">
        <w:rPr>
          <w:rFonts w:cs="Arial"/>
        </w:rPr>
        <w:t xml:space="preserve">następuje </w:t>
      </w:r>
      <w:r w:rsidR="00DC2165" w:rsidRPr="0036325E">
        <w:rPr>
          <w:rFonts w:cs="Arial"/>
          <w:u w:val="single"/>
        </w:rPr>
        <w:t>w sposób analogiczny jak w arkusz</w:t>
      </w:r>
      <w:r w:rsidR="00750D30">
        <w:rPr>
          <w:rFonts w:cs="Arial"/>
          <w:u w:val="single"/>
        </w:rPr>
        <w:t>u [informacje pisemne TAB 1.2].</w:t>
      </w:r>
    </w:p>
    <w:p w:rsidR="000475FA" w:rsidRPr="00750D30" w:rsidRDefault="000475FA" w:rsidP="00750D30">
      <w:pPr>
        <w:ind w:left="142"/>
        <w:jc w:val="both"/>
        <w:rPr>
          <w:rFonts w:cs="Arial"/>
          <w:u w:val="single"/>
        </w:rPr>
      </w:pPr>
      <w:r w:rsidRPr="0036325E">
        <w:rPr>
          <w:rFonts w:cs="Arial"/>
        </w:rPr>
        <w:t>wymaga wypełnienia:</w:t>
      </w:r>
    </w:p>
    <w:p w:rsidR="00750D30" w:rsidRDefault="000475FA" w:rsidP="00B1570D">
      <w:pPr>
        <w:pStyle w:val="Akapitzlist"/>
        <w:numPr>
          <w:ilvl w:val="0"/>
          <w:numId w:val="12"/>
        </w:numPr>
        <w:ind w:left="426" w:hanging="284"/>
        <w:jc w:val="both"/>
        <w:rPr>
          <w:rFonts w:cs="Arial"/>
        </w:rPr>
      </w:pPr>
      <w:r w:rsidRPr="00750D30">
        <w:rPr>
          <w:rFonts w:cs="Arial"/>
          <w:b/>
        </w:rPr>
        <w:lastRenderedPageBreak/>
        <w:t>pól umożliwiających identyfikację sprawy</w:t>
      </w:r>
      <w:r w:rsidRPr="0036325E">
        <w:rPr>
          <w:rFonts w:cs="Arial"/>
        </w:rPr>
        <w:t xml:space="preserve"> (numer sprawy, imię i nazwisko konsumenta, nazwa przedsiębiorcy, uwagi)</w:t>
      </w:r>
      <w:r w:rsidR="00750D30">
        <w:rPr>
          <w:rFonts w:cs="Arial"/>
        </w:rPr>
        <w:t xml:space="preserve">. </w:t>
      </w:r>
    </w:p>
    <w:p w:rsidR="007501E9" w:rsidRDefault="00750D30" w:rsidP="00750D30">
      <w:pPr>
        <w:pStyle w:val="Akapitzlist"/>
        <w:ind w:left="426"/>
        <w:jc w:val="both"/>
        <w:rPr>
          <w:rFonts w:cs="Arial"/>
        </w:rPr>
      </w:pPr>
      <w:r>
        <w:rPr>
          <w:rFonts w:cs="Arial"/>
        </w:rPr>
        <w:t>P</w:t>
      </w:r>
      <w:r w:rsidR="009E2FAE" w:rsidRPr="0036325E">
        <w:rPr>
          <w:rFonts w:cs="Arial"/>
        </w:rPr>
        <w:t xml:space="preserve">ola te </w:t>
      </w:r>
      <w:r w:rsidR="009E2FAE" w:rsidRPr="0036325E">
        <w:rPr>
          <w:rFonts w:cs="Arial"/>
          <w:u w:val="single"/>
        </w:rPr>
        <w:t>nie są obowiązkowe</w:t>
      </w:r>
      <w:r w:rsidR="009E2FAE" w:rsidRPr="0036325E">
        <w:rPr>
          <w:rFonts w:cs="Arial"/>
        </w:rPr>
        <w:t xml:space="preserve"> w tym sensie, że </w:t>
      </w:r>
      <w:r w:rsidR="009E2FAE" w:rsidRPr="0036325E">
        <w:rPr>
          <w:rFonts w:cs="Arial"/>
          <w:u w:val="single"/>
        </w:rPr>
        <w:t>nie mają żadnego znaczenia dla sprawozdawczości,</w:t>
      </w:r>
      <w:r w:rsidR="009E2FAE" w:rsidRPr="0036325E">
        <w:rPr>
          <w:rFonts w:cs="Arial"/>
        </w:rPr>
        <w:t xml:space="preserve"> a dane zebrane w tych polach nie są dalej przekazywane, mogą natomiast być użyteczne w pracy rzecznika (</w:t>
      </w:r>
      <w:r>
        <w:rPr>
          <w:rFonts w:cs="Arial"/>
        </w:rPr>
        <w:t xml:space="preserve">np. </w:t>
      </w:r>
      <w:r w:rsidR="009E2FAE" w:rsidRPr="0036325E">
        <w:rPr>
          <w:rFonts w:cs="Arial"/>
        </w:rPr>
        <w:t>ułatwiają identyfikację spraw związanych z działalnością konkretnego przedsiębiorcy,</w:t>
      </w:r>
      <w:r>
        <w:rPr>
          <w:rFonts w:cs="Arial"/>
        </w:rPr>
        <w:t xml:space="preserve"> rubryka [uwagi]</w:t>
      </w:r>
      <w:r w:rsidR="009E2FAE" w:rsidRPr="0036325E">
        <w:rPr>
          <w:rFonts w:cs="Arial"/>
        </w:rPr>
        <w:t xml:space="preserve"> </w:t>
      </w:r>
      <w:r>
        <w:rPr>
          <w:rFonts w:cs="Arial"/>
        </w:rPr>
        <w:t xml:space="preserve">może być wykorzystana dowolnie, np. na zebranie </w:t>
      </w:r>
      <w:r w:rsidR="009E2FAE" w:rsidRPr="0036325E">
        <w:rPr>
          <w:rFonts w:cs="Arial"/>
        </w:rPr>
        <w:t xml:space="preserve">informacji o </w:t>
      </w:r>
      <w:r>
        <w:rPr>
          <w:rFonts w:cs="Arial"/>
        </w:rPr>
        <w:t xml:space="preserve">wyniku </w:t>
      </w:r>
      <w:r w:rsidR="009E2FAE" w:rsidRPr="0036325E">
        <w:rPr>
          <w:rFonts w:cs="Arial"/>
        </w:rPr>
        <w:t>sprawy</w:t>
      </w:r>
      <w:r w:rsidR="00790FFF">
        <w:rPr>
          <w:rFonts w:cs="Arial"/>
        </w:rPr>
        <w:t xml:space="preserve"> [</w:t>
      </w:r>
      <w:r w:rsidR="009E2FAE" w:rsidRPr="0036325E">
        <w:rPr>
          <w:rFonts w:cs="Arial"/>
        </w:rPr>
        <w:t>pozytywnie/negatywnie</w:t>
      </w:r>
      <w:r w:rsidR="00790FFF">
        <w:rPr>
          <w:rFonts w:cs="Arial"/>
        </w:rPr>
        <w:t>]</w:t>
      </w:r>
      <w:r>
        <w:rPr>
          <w:rFonts w:cs="Arial"/>
        </w:rPr>
        <w:t xml:space="preserve">, </w:t>
      </w:r>
      <w:r w:rsidR="009E2FAE" w:rsidRPr="0036325E">
        <w:rPr>
          <w:rFonts w:cs="Arial"/>
        </w:rPr>
        <w:t xml:space="preserve">o ile takie dane </w:t>
      </w:r>
      <w:r>
        <w:rPr>
          <w:rFonts w:cs="Arial"/>
        </w:rPr>
        <w:t>Rzecznik chciałby zbierać</w:t>
      </w:r>
      <w:r w:rsidR="00790FFF">
        <w:rPr>
          <w:rFonts w:cs="Arial"/>
        </w:rPr>
        <w:t>)</w:t>
      </w:r>
      <w:r>
        <w:rPr>
          <w:rFonts w:cs="Arial"/>
        </w:rPr>
        <w:t>.</w:t>
      </w:r>
    </w:p>
    <w:p w:rsidR="00750D30" w:rsidRPr="0036325E" w:rsidRDefault="00750D30" w:rsidP="00750D30">
      <w:pPr>
        <w:pStyle w:val="Akapitzlist"/>
        <w:ind w:left="426"/>
        <w:jc w:val="both"/>
        <w:rPr>
          <w:rFonts w:cs="Arial"/>
        </w:rPr>
      </w:pPr>
    </w:p>
    <w:p w:rsidR="00DC2165" w:rsidRPr="0036325E" w:rsidRDefault="000475FA" w:rsidP="00B1570D">
      <w:pPr>
        <w:pStyle w:val="Akapitzlist"/>
        <w:numPr>
          <w:ilvl w:val="0"/>
          <w:numId w:val="12"/>
        </w:numPr>
        <w:ind w:left="426" w:hanging="284"/>
        <w:jc w:val="both"/>
        <w:rPr>
          <w:rFonts w:cs="Arial"/>
        </w:rPr>
      </w:pPr>
      <w:r w:rsidRPr="00750D30">
        <w:rPr>
          <w:rFonts w:cs="Arial"/>
          <w:b/>
        </w:rPr>
        <w:t>trzech pól klasyfikacyjn</w:t>
      </w:r>
      <w:r w:rsidR="00750D30">
        <w:rPr>
          <w:rFonts w:cs="Arial"/>
          <w:b/>
        </w:rPr>
        <w:t>ych</w:t>
      </w:r>
      <w:r w:rsidRPr="00750D30">
        <w:rPr>
          <w:rFonts w:cs="Arial"/>
          <w:b/>
        </w:rPr>
        <w:t>:</w:t>
      </w:r>
      <w:r w:rsidRPr="0036325E">
        <w:rPr>
          <w:rFonts w:cs="Arial"/>
        </w:rPr>
        <w:t xml:space="preserve"> [A. </w:t>
      </w:r>
      <w:r w:rsidR="009A11EF">
        <w:rPr>
          <w:rFonts w:cs="Arial"/>
        </w:rPr>
        <w:t>sposób</w:t>
      </w:r>
      <w:r w:rsidRPr="0036325E">
        <w:rPr>
          <w:rFonts w:cs="Arial"/>
        </w:rPr>
        <w:t xml:space="preserve"> zawarcia umowy], [B. informacje sektorowe], [C. główny </w:t>
      </w:r>
      <w:r w:rsidR="00DC2165" w:rsidRPr="0036325E">
        <w:rPr>
          <w:rFonts w:cs="Arial"/>
        </w:rPr>
        <w:t xml:space="preserve">problem] poprzez dokonanie wyboru właściwej pozycji z </w:t>
      </w:r>
      <w:r w:rsidR="00DC2165" w:rsidRPr="0036325E">
        <w:rPr>
          <w:rFonts w:cs="Arial"/>
          <w:u w:val="single"/>
        </w:rPr>
        <w:t>listy rozwijanej</w:t>
      </w:r>
      <w:r w:rsidR="00DC2165" w:rsidRPr="0036325E">
        <w:rPr>
          <w:rFonts w:cs="Arial"/>
        </w:rPr>
        <w:t xml:space="preserve">. </w:t>
      </w:r>
    </w:p>
    <w:p w:rsidR="000F3F6C" w:rsidRPr="0036325E" w:rsidRDefault="000475FA" w:rsidP="00B1570D">
      <w:pPr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3587CB82" wp14:editId="359716EA">
            <wp:extent cx="5931535" cy="215011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30" w:rsidRDefault="0074338B" w:rsidP="00B1570D">
      <w:pPr>
        <w:pStyle w:val="Akapitzlist"/>
        <w:ind w:left="284"/>
        <w:jc w:val="both"/>
        <w:rPr>
          <w:rFonts w:cs="Arial"/>
        </w:rPr>
      </w:pPr>
      <w:r w:rsidRPr="00750D30">
        <w:rPr>
          <w:rFonts w:cs="Arial"/>
          <w:b/>
        </w:rPr>
        <w:t>Uwaga:</w:t>
      </w:r>
      <w:r w:rsidRPr="0036325E">
        <w:rPr>
          <w:rFonts w:cs="Arial"/>
        </w:rPr>
        <w:t xml:space="preserve"> </w:t>
      </w:r>
      <w:r w:rsidR="00750D30">
        <w:rPr>
          <w:rFonts w:cs="Arial"/>
        </w:rPr>
        <w:t xml:space="preserve">tabela zawiera </w:t>
      </w:r>
      <w:r w:rsidR="00750D30" w:rsidRPr="00750D30">
        <w:rPr>
          <w:rFonts w:cs="Arial"/>
          <w:u w:val="single"/>
        </w:rPr>
        <w:t xml:space="preserve">3 ukryte kolumny, </w:t>
      </w:r>
      <w:r w:rsidRPr="00750D30">
        <w:rPr>
          <w:rFonts w:cs="Arial"/>
          <w:u w:val="single"/>
        </w:rPr>
        <w:t>których nie należy usuwać</w:t>
      </w:r>
      <w:r w:rsidRPr="0036325E">
        <w:rPr>
          <w:rFonts w:cs="Arial"/>
        </w:rPr>
        <w:t xml:space="preserve">. </w:t>
      </w:r>
    </w:p>
    <w:p w:rsidR="0074338B" w:rsidRPr="0036325E" w:rsidRDefault="0074338B" w:rsidP="00B1570D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EF34B8" w:rsidRPr="0036325E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>współpraca TAB 3</w:t>
      </w:r>
    </w:p>
    <w:p w:rsidR="00353540" w:rsidRPr="0036325E" w:rsidRDefault="00353540" w:rsidP="00B1570D">
      <w:pPr>
        <w:jc w:val="both"/>
        <w:rPr>
          <w:rFonts w:cs="Arial"/>
        </w:rPr>
      </w:pPr>
      <w:r w:rsidRPr="0036325E">
        <w:rPr>
          <w:rFonts w:cs="Arial"/>
        </w:rPr>
        <w:t xml:space="preserve">tabela służy do klasyfikowania </w:t>
      </w:r>
      <w:r w:rsidRPr="00750D30">
        <w:rPr>
          <w:rFonts w:cs="Arial"/>
          <w:u w:val="single"/>
        </w:rPr>
        <w:t xml:space="preserve">spraw </w:t>
      </w:r>
      <w:r w:rsidR="003639EC" w:rsidRPr="00750D30">
        <w:rPr>
          <w:rFonts w:cs="Arial"/>
          <w:u w:val="single"/>
        </w:rPr>
        <w:t>prowadzonych w ramach współdziałania</w:t>
      </w:r>
      <w:r w:rsidR="003639EC" w:rsidRPr="0036325E">
        <w:rPr>
          <w:rFonts w:cs="Arial"/>
        </w:rPr>
        <w:t xml:space="preserve"> </w:t>
      </w:r>
      <w:r w:rsidR="003639EC" w:rsidRPr="0036325E">
        <w:rPr>
          <w:rFonts w:eastAsia="Times New Roman" w:cs="Arial"/>
          <w:color w:val="000000"/>
        </w:rPr>
        <w:t xml:space="preserve">z właściwymi miejscowo delegaturami UOKiK, organami Inspekcji Handlowej oraz organizacjami konsumenckimi (por. art. 42 ust 1 pkt 4 uokik) lub innymi urzędami </w:t>
      </w:r>
      <w:r w:rsidR="003639EC" w:rsidRPr="0036325E">
        <w:rPr>
          <w:rFonts w:cs="Arial"/>
        </w:rPr>
        <w:t>i instytucjami.</w:t>
      </w:r>
    </w:p>
    <w:p w:rsidR="00353540" w:rsidRPr="0036325E" w:rsidRDefault="00353540" w:rsidP="00B1570D">
      <w:pPr>
        <w:jc w:val="both"/>
        <w:rPr>
          <w:rFonts w:cs="Arial"/>
        </w:rPr>
      </w:pPr>
      <w:r w:rsidRPr="0036325E">
        <w:rPr>
          <w:rFonts w:cs="Arial"/>
        </w:rPr>
        <w:t>Chodzi o sprawy, w których</w:t>
      </w:r>
      <w:r w:rsidR="003639EC" w:rsidRPr="0036325E">
        <w:rPr>
          <w:rFonts w:cs="Arial"/>
        </w:rPr>
        <w:t xml:space="preserve"> współdziałanie to </w:t>
      </w:r>
      <w:r w:rsidRPr="0036325E">
        <w:rPr>
          <w:rFonts w:cs="Arial"/>
        </w:rPr>
        <w:t xml:space="preserve">ma </w:t>
      </w:r>
      <w:r w:rsidRPr="00750D30">
        <w:rPr>
          <w:rFonts w:cs="Arial"/>
          <w:u w:val="single"/>
        </w:rPr>
        <w:t>charakter samoistny</w:t>
      </w:r>
      <w:r w:rsidR="003639EC" w:rsidRPr="0036325E">
        <w:rPr>
          <w:rFonts w:cs="Arial"/>
        </w:rPr>
        <w:t>, tj.</w:t>
      </w:r>
      <w:r w:rsidRPr="0036325E">
        <w:rPr>
          <w:rFonts w:cs="Arial"/>
        </w:rPr>
        <w:t xml:space="preserve"> nie ma </w:t>
      </w:r>
      <w:r w:rsidR="003639EC" w:rsidRPr="0036325E">
        <w:rPr>
          <w:rFonts w:cs="Arial"/>
        </w:rPr>
        <w:t xml:space="preserve">bezpośredniego </w:t>
      </w:r>
      <w:r w:rsidRPr="0036325E">
        <w:rPr>
          <w:rFonts w:cs="Arial"/>
        </w:rPr>
        <w:t>związku z</w:t>
      </w:r>
      <w:r w:rsidR="003639EC" w:rsidRPr="0036325E">
        <w:rPr>
          <w:rFonts w:cs="Arial"/>
        </w:rPr>
        <w:t>e sprawą indywidualnego</w:t>
      </w:r>
      <w:r w:rsidRPr="0036325E">
        <w:rPr>
          <w:rFonts w:cs="Arial"/>
        </w:rPr>
        <w:t xml:space="preserve"> konsumenta (wtedy bowiem wystąpienie </w:t>
      </w:r>
      <w:r w:rsidR="0024313A">
        <w:rPr>
          <w:rFonts w:cs="Arial"/>
        </w:rPr>
        <w:t>rzecznika</w:t>
      </w:r>
      <w:r w:rsidRPr="0036325E">
        <w:rPr>
          <w:rFonts w:cs="Arial"/>
        </w:rPr>
        <w:t xml:space="preserve"> do innego urzędu stanowi jedno z pism tworzących dokumentację sprawy</w:t>
      </w:r>
      <w:r w:rsidR="003639EC" w:rsidRPr="0036325E">
        <w:rPr>
          <w:rFonts w:cs="Arial"/>
        </w:rPr>
        <w:t>, w której</w:t>
      </w:r>
      <w:r w:rsidRPr="0036325E">
        <w:rPr>
          <w:rFonts w:cs="Arial"/>
        </w:rPr>
        <w:t xml:space="preserve"> miało miejsce </w:t>
      </w:r>
      <w:r w:rsidR="003639EC" w:rsidRPr="0036325E">
        <w:rPr>
          <w:rFonts w:cs="Arial"/>
        </w:rPr>
        <w:t xml:space="preserve"> </w:t>
      </w:r>
      <w:r w:rsidRPr="0036325E">
        <w:rPr>
          <w:rFonts w:cs="Arial"/>
        </w:rPr>
        <w:t>wystąpienie do przedsiębiorcy</w:t>
      </w:r>
      <w:r w:rsidR="003639EC" w:rsidRPr="0036325E">
        <w:rPr>
          <w:rFonts w:cs="Arial"/>
        </w:rPr>
        <w:t xml:space="preserve"> </w:t>
      </w:r>
      <w:r w:rsidRPr="0036325E">
        <w:rPr>
          <w:rFonts w:cs="Arial"/>
        </w:rPr>
        <w:t xml:space="preserve">lub </w:t>
      </w:r>
      <w:r w:rsidR="0024313A">
        <w:rPr>
          <w:rFonts w:cs="Arial"/>
        </w:rPr>
        <w:t xml:space="preserve">w której udzielono wyjaśnień </w:t>
      </w:r>
      <w:r w:rsidRPr="0036325E">
        <w:rPr>
          <w:rFonts w:cs="Arial"/>
        </w:rPr>
        <w:t xml:space="preserve">konsumentowi). </w:t>
      </w:r>
    </w:p>
    <w:p w:rsidR="003639EC" w:rsidRPr="0036325E" w:rsidRDefault="003639EC" w:rsidP="00B1570D">
      <w:pPr>
        <w:jc w:val="both"/>
        <w:rPr>
          <w:rFonts w:eastAsia="Times New Roman" w:cs="Arial"/>
          <w:color w:val="000000"/>
        </w:rPr>
      </w:pPr>
      <w:r w:rsidRPr="0036325E">
        <w:rPr>
          <w:rFonts w:cs="Arial"/>
        </w:rPr>
        <w:t xml:space="preserve">Najczęściej są </w:t>
      </w:r>
      <w:r w:rsidR="00CF6483" w:rsidRPr="0036325E">
        <w:rPr>
          <w:rFonts w:cs="Arial"/>
        </w:rPr>
        <w:t xml:space="preserve">to </w:t>
      </w:r>
      <w:r w:rsidRPr="0036325E">
        <w:rPr>
          <w:rFonts w:cs="Arial"/>
        </w:rPr>
        <w:t xml:space="preserve">zawiadomienia </w:t>
      </w:r>
      <w:r w:rsidRPr="0036325E">
        <w:rPr>
          <w:rFonts w:eastAsia="Times New Roman" w:cs="Arial"/>
          <w:color w:val="000000"/>
        </w:rPr>
        <w:t>delegatur UOKiK o problemach dotyczących ochrony konsumentów, wymagających podjęcia działań przez organy administracji rządowej (por. art. 43 ust. 3 uokik), wymiana informacji</w:t>
      </w:r>
      <w:r w:rsidR="00CF6483" w:rsidRPr="0036325E">
        <w:rPr>
          <w:rFonts w:eastAsia="Times New Roman" w:cs="Arial"/>
          <w:color w:val="000000"/>
        </w:rPr>
        <w:t xml:space="preserve"> o wynikających ze skarg problemach</w:t>
      </w:r>
      <w:r w:rsidRPr="0036325E">
        <w:rPr>
          <w:rFonts w:eastAsia="Times New Roman" w:cs="Arial"/>
          <w:color w:val="000000"/>
        </w:rPr>
        <w:t xml:space="preserve"> z </w:t>
      </w:r>
      <w:r w:rsidR="00CF6483" w:rsidRPr="0036325E">
        <w:rPr>
          <w:rFonts w:eastAsia="Times New Roman" w:cs="Arial"/>
          <w:color w:val="000000"/>
        </w:rPr>
        <w:t xml:space="preserve">rzecznikami konsumentów, </w:t>
      </w:r>
      <w:r w:rsidRPr="0036325E">
        <w:rPr>
          <w:rFonts w:eastAsia="Times New Roman" w:cs="Arial"/>
          <w:color w:val="000000"/>
        </w:rPr>
        <w:t xml:space="preserve">RPO, regulatorami rynku (URE, UKE),  służbami i inspekcjami itp. </w:t>
      </w:r>
    </w:p>
    <w:p w:rsidR="0024313A" w:rsidRDefault="00353540" w:rsidP="00B1570D">
      <w:pPr>
        <w:jc w:val="both"/>
        <w:rPr>
          <w:rFonts w:cs="Arial"/>
          <w:u w:val="single"/>
        </w:rPr>
      </w:pPr>
      <w:r w:rsidRPr="0036325E">
        <w:rPr>
          <w:rFonts w:cs="Arial"/>
        </w:rPr>
        <w:t xml:space="preserve">zebranie danych następuje </w:t>
      </w:r>
      <w:r w:rsidRPr="0036325E">
        <w:rPr>
          <w:rFonts w:cs="Arial"/>
          <w:u w:val="single"/>
        </w:rPr>
        <w:t>w sposób analogiczny jak w arkusz</w:t>
      </w:r>
      <w:r w:rsidR="0024313A">
        <w:rPr>
          <w:rFonts w:cs="Arial"/>
          <w:u w:val="single"/>
        </w:rPr>
        <w:t>u [informacje pisemne TAB 1.2].</w:t>
      </w:r>
    </w:p>
    <w:p w:rsidR="00353540" w:rsidRPr="0036325E" w:rsidRDefault="0024313A" w:rsidP="00B1570D">
      <w:pPr>
        <w:jc w:val="both"/>
        <w:rPr>
          <w:rFonts w:cs="Arial"/>
        </w:rPr>
      </w:pPr>
      <w:r w:rsidRPr="0024313A">
        <w:rPr>
          <w:rFonts w:cs="Arial"/>
        </w:rPr>
        <w:t>W</w:t>
      </w:r>
      <w:r w:rsidR="00353540" w:rsidRPr="0036325E">
        <w:rPr>
          <w:rFonts w:cs="Arial"/>
        </w:rPr>
        <w:t>ymaga wypełnienia:</w:t>
      </w:r>
    </w:p>
    <w:p w:rsidR="009E2FAE" w:rsidRPr="0036325E" w:rsidRDefault="00353540" w:rsidP="00B1570D">
      <w:pPr>
        <w:pStyle w:val="Akapitzlist"/>
        <w:numPr>
          <w:ilvl w:val="0"/>
          <w:numId w:val="12"/>
        </w:numPr>
        <w:ind w:left="360"/>
        <w:jc w:val="both"/>
        <w:rPr>
          <w:rFonts w:cs="Arial"/>
        </w:rPr>
      </w:pPr>
      <w:r w:rsidRPr="0024313A">
        <w:rPr>
          <w:rFonts w:cs="Arial"/>
          <w:b/>
        </w:rPr>
        <w:t>pól umożliwiających identyfikację sprawy</w:t>
      </w:r>
      <w:r w:rsidRPr="0036325E">
        <w:rPr>
          <w:rFonts w:cs="Arial"/>
        </w:rPr>
        <w:t xml:space="preserve"> (numer sprawy, </w:t>
      </w:r>
      <w:r w:rsidR="00CF6483" w:rsidRPr="0036325E">
        <w:rPr>
          <w:rFonts w:cs="Arial"/>
        </w:rPr>
        <w:t>instytucja współdziałająca, przedmiot współpracy</w:t>
      </w:r>
      <w:r w:rsidR="009E2FAE" w:rsidRPr="0036325E">
        <w:rPr>
          <w:rFonts w:cs="Arial"/>
        </w:rPr>
        <w:t>)</w:t>
      </w:r>
      <w:r w:rsidR="00790FFF">
        <w:rPr>
          <w:rFonts w:cs="Arial"/>
        </w:rPr>
        <w:t>.</w:t>
      </w:r>
    </w:p>
    <w:p w:rsidR="009E2FAE" w:rsidRPr="0036325E" w:rsidRDefault="00790FFF" w:rsidP="00B1570D">
      <w:pPr>
        <w:pStyle w:val="Akapitzlist"/>
        <w:ind w:left="360"/>
        <w:jc w:val="both"/>
        <w:rPr>
          <w:rFonts w:cs="Arial"/>
        </w:rPr>
      </w:pPr>
      <w:r>
        <w:rPr>
          <w:rFonts w:cs="Arial"/>
        </w:rPr>
        <w:t>P</w:t>
      </w:r>
      <w:r w:rsidR="009E2FAE" w:rsidRPr="0036325E">
        <w:rPr>
          <w:rFonts w:cs="Arial"/>
        </w:rPr>
        <w:t xml:space="preserve">ola te </w:t>
      </w:r>
      <w:r w:rsidR="009E2FAE" w:rsidRPr="0036325E">
        <w:rPr>
          <w:rFonts w:cs="Arial"/>
          <w:u w:val="single"/>
        </w:rPr>
        <w:t>nie są obowiązkowe</w:t>
      </w:r>
      <w:r w:rsidR="009E2FAE" w:rsidRPr="0036325E">
        <w:rPr>
          <w:rFonts w:cs="Arial"/>
        </w:rPr>
        <w:t xml:space="preserve"> w tym sensie, że </w:t>
      </w:r>
      <w:r w:rsidR="009E2FAE" w:rsidRPr="0036325E">
        <w:rPr>
          <w:rFonts w:cs="Arial"/>
          <w:u w:val="single"/>
        </w:rPr>
        <w:t>nie mają żadnego znaczenia dla sprawozdawczości,</w:t>
      </w:r>
      <w:r w:rsidR="009E2FAE" w:rsidRPr="0036325E">
        <w:rPr>
          <w:rFonts w:cs="Arial"/>
        </w:rPr>
        <w:t xml:space="preserve"> </w:t>
      </w:r>
      <w:r w:rsidR="009E2FAE" w:rsidRPr="0036325E">
        <w:rPr>
          <w:rFonts w:cs="Arial"/>
        </w:rPr>
        <w:br/>
        <w:t>a dane zebrane w tych polach nie są przekazywane, mogą natomiast być użyteczne w pracy rzecznika (ułatwiają identyfikację spraw związanych z działalnośc</w:t>
      </w:r>
      <w:r>
        <w:rPr>
          <w:rFonts w:cs="Arial"/>
        </w:rPr>
        <w:t xml:space="preserve">ią konkretnego przedsiębiorcy lub </w:t>
      </w:r>
      <w:r w:rsidR="009E2FAE" w:rsidRPr="0036325E">
        <w:rPr>
          <w:rFonts w:cs="Arial"/>
        </w:rPr>
        <w:t>spraw</w:t>
      </w:r>
      <w:r>
        <w:rPr>
          <w:rFonts w:cs="Arial"/>
        </w:rPr>
        <w:t>,</w:t>
      </w:r>
      <w:r w:rsidR="009E2FAE" w:rsidRPr="0036325E">
        <w:rPr>
          <w:rFonts w:cs="Arial"/>
        </w:rPr>
        <w:t xml:space="preserve"> w których Rzecznik współpracował z konkretnym urzędem)</w:t>
      </w:r>
      <w:r>
        <w:rPr>
          <w:rFonts w:cs="Arial"/>
        </w:rPr>
        <w:t>.</w:t>
      </w:r>
    </w:p>
    <w:p w:rsidR="00353540" w:rsidRPr="0036325E" w:rsidRDefault="00353540" w:rsidP="00B1570D">
      <w:pPr>
        <w:pStyle w:val="Akapitzlist"/>
        <w:numPr>
          <w:ilvl w:val="0"/>
          <w:numId w:val="12"/>
        </w:numPr>
        <w:ind w:left="284" w:hanging="284"/>
        <w:jc w:val="both"/>
        <w:rPr>
          <w:rFonts w:cs="Arial"/>
        </w:rPr>
      </w:pPr>
      <w:r w:rsidRPr="00790FFF">
        <w:rPr>
          <w:rFonts w:cs="Arial"/>
          <w:b/>
        </w:rPr>
        <w:lastRenderedPageBreak/>
        <w:t>trzech pól klasyfikacyjn</w:t>
      </w:r>
      <w:r w:rsidR="00790FFF" w:rsidRPr="00790FFF">
        <w:rPr>
          <w:rFonts w:cs="Arial"/>
          <w:b/>
        </w:rPr>
        <w:t>ych</w:t>
      </w:r>
      <w:r w:rsidRPr="00790FFF">
        <w:rPr>
          <w:rFonts w:cs="Arial"/>
          <w:b/>
        </w:rPr>
        <w:t>:</w:t>
      </w:r>
      <w:r w:rsidRPr="0036325E">
        <w:rPr>
          <w:rFonts w:cs="Arial"/>
        </w:rPr>
        <w:t xml:space="preserve"> [A. </w:t>
      </w:r>
      <w:r w:rsidR="009A11EF">
        <w:rPr>
          <w:rFonts w:cs="Arial"/>
        </w:rPr>
        <w:t>sposób</w:t>
      </w:r>
      <w:r w:rsidRPr="0036325E">
        <w:rPr>
          <w:rFonts w:cs="Arial"/>
        </w:rPr>
        <w:t xml:space="preserve"> zawarcia umowy], [B. informacje sektorowe], [C. główny problem] poprzez dokonanie wyboru właściwej pozycji z </w:t>
      </w:r>
      <w:r w:rsidRPr="0036325E">
        <w:rPr>
          <w:rFonts w:cs="Arial"/>
          <w:u w:val="single"/>
        </w:rPr>
        <w:t>listy rozwijanej</w:t>
      </w:r>
      <w:r w:rsidRPr="0036325E">
        <w:rPr>
          <w:rFonts w:cs="Arial"/>
        </w:rPr>
        <w:t xml:space="preserve">. </w:t>
      </w:r>
    </w:p>
    <w:p w:rsidR="00CF6483" w:rsidRPr="0036325E" w:rsidRDefault="007501E9" w:rsidP="00B1570D">
      <w:pPr>
        <w:ind w:left="142"/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227E402D" wp14:editId="6070BD36">
            <wp:extent cx="5788625" cy="2521152"/>
            <wp:effectExtent l="19050" t="0" r="257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16" cy="25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FF" w:rsidRDefault="0036325E" w:rsidP="00B1570D">
      <w:pPr>
        <w:pStyle w:val="Akapitzlist"/>
        <w:ind w:left="284"/>
        <w:jc w:val="both"/>
        <w:rPr>
          <w:rFonts w:cs="Arial"/>
        </w:rPr>
      </w:pPr>
      <w:r w:rsidRPr="00790FFF">
        <w:rPr>
          <w:rFonts w:cs="Arial"/>
          <w:b/>
        </w:rPr>
        <w:t>Uwaga</w:t>
      </w:r>
      <w:r w:rsidRPr="0036325E">
        <w:rPr>
          <w:rFonts w:cs="Arial"/>
        </w:rPr>
        <w:t xml:space="preserve">: tabela zawiera </w:t>
      </w:r>
      <w:r w:rsidRPr="00790FFF">
        <w:rPr>
          <w:rFonts w:cs="Arial"/>
          <w:u w:val="single"/>
        </w:rPr>
        <w:t>3 ukryte kolumny, których nie należy usuwać</w:t>
      </w:r>
      <w:r w:rsidRPr="0036325E">
        <w:rPr>
          <w:rFonts w:cs="Arial"/>
        </w:rPr>
        <w:t xml:space="preserve">. </w:t>
      </w:r>
    </w:p>
    <w:p w:rsidR="0036325E" w:rsidRPr="0036325E" w:rsidRDefault="0036325E" w:rsidP="00B1570D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36325E" w:rsidRPr="0036325E" w:rsidRDefault="0036325E" w:rsidP="00B1570D">
      <w:pPr>
        <w:ind w:left="142"/>
        <w:jc w:val="both"/>
        <w:rPr>
          <w:rFonts w:cs="Arial"/>
        </w:rPr>
      </w:pPr>
    </w:p>
    <w:p w:rsidR="007501E9" w:rsidRPr="0036325E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>sądowe RK TAB 4.1</w:t>
      </w:r>
    </w:p>
    <w:p w:rsidR="007501E9" w:rsidRPr="0036325E" w:rsidRDefault="007501E9" w:rsidP="00B1570D">
      <w:pPr>
        <w:jc w:val="both"/>
        <w:rPr>
          <w:rFonts w:cs="Arial"/>
        </w:rPr>
      </w:pPr>
      <w:r w:rsidRPr="0036325E">
        <w:rPr>
          <w:rFonts w:cs="Arial"/>
        </w:rPr>
        <w:t>tabela służy do kl</w:t>
      </w:r>
      <w:r w:rsidR="00790FFF">
        <w:rPr>
          <w:rFonts w:cs="Arial"/>
        </w:rPr>
        <w:t xml:space="preserve">asyfikowania spraw, w których </w:t>
      </w:r>
      <w:r w:rsidR="00790FFF" w:rsidRPr="00790FFF">
        <w:rPr>
          <w:rFonts w:cs="Arial"/>
          <w:u w:val="single"/>
        </w:rPr>
        <w:t>rzecznik</w:t>
      </w:r>
      <w:r w:rsidRPr="00790FFF">
        <w:rPr>
          <w:rFonts w:cs="Arial"/>
          <w:u w:val="single"/>
        </w:rPr>
        <w:t xml:space="preserve"> występuje na rzecz konsumentów w postępowaniach cywilnych przed sądami powszechnymi</w:t>
      </w:r>
      <w:r w:rsidRPr="0036325E">
        <w:rPr>
          <w:rFonts w:cs="Arial"/>
        </w:rPr>
        <w:t xml:space="preserve"> (w charakterze powoda, wstępując do postępowania po stronie konsumenta lub przedstawia sądowi istotny pogląd w sprawie)</w:t>
      </w:r>
      <w:r w:rsidR="00F15F2E" w:rsidRPr="0036325E">
        <w:rPr>
          <w:rFonts w:cs="Arial"/>
        </w:rPr>
        <w:t>.</w:t>
      </w:r>
    </w:p>
    <w:p w:rsidR="00F15F2E" w:rsidRPr="0036325E" w:rsidRDefault="00F15F2E" w:rsidP="00B1570D">
      <w:pPr>
        <w:jc w:val="both"/>
        <w:rPr>
          <w:rFonts w:cs="Arial"/>
        </w:rPr>
      </w:pPr>
      <w:r w:rsidRPr="00790FFF">
        <w:rPr>
          <w:rFonts w:cs="Arial"/>
          <w:b/>
        </w:rPr>
        <w:t>Uwaga:</w:t>
      </w:r>
      <w:r w:rsidRPr="0036325E">
        <w:rPr>
          <w:rFonts w:cs="Arial"/>
        </w:rPr>
        <w:t xml:space="preserve"> w przypadku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gdy sprawa sądowa z udziałem </w:t>
      </w:r>
      <w:r w:rsidR="00790FFF">
        <w:rPr>
          <w:rFonts w:cs="Arial"/>
        </w:rPr>
        <w:t xml:space="preserve">rzecznika </w:t>
      </w:r>
      <w:r w:rsidRPr="0036325E">
        <w:rPr>
          <w:rFonts w:cs="Arial"/>
        </w:rPr>
        <w:t>jest kontynuacją sprawy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w której </w:t>
      </w:r>
      <w:r w:rsidR="00790FFF">
        <w:rPr>
          <w:rFonts w:cs="Arial"/>
        </w:rPr>
        <w:t>r</w:t>
      </w:r>
      <w:r w:rsidRPr="0036325E">
        <w:rPr>
          <w:rFonts w:cs="Arial"/>
        </w:rPr>
        <w:t>zecznik wcześniej występował do przedsiębiorcy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zasadne jest zamknięcie sprawy „interwencyjnej” i ponowne jej zarejestrowanie jako sprawy sądowej. Pozwala to na łatwe ustalenie rzeczywistej liczby spraw sądowych z udziałem </w:t>
      </w:r>
      <w:r w:rsidR="00790FFF">
        <w:rPr>
          <w:rFonts w:cs="Arial"/>
        </w:rPr>
        <w:t>rzecznika.</w:t>
      </w:r>
    </w:p>
    <w:p w:rsidR="00790FFF" w:rsidRDefault="00790FFF" w:rsidP="00B1570D">
      <w:pPr>
        <w:jc w:val="both"/>
        <w:rPr>
          <w:rFonts w:cs="Arial"/>
          <w:u w:val="single"/>
        </w:rPr>
      </w:pPr>
      <w:r>
        <w:rPr>
          <w:rFonts w:cs="Arial"/>
        </w:rPr>
        <w:t>Z</w:t>
      </w:r>
      <w:r w:rsidR="007501E9" w:rsidRPr="0036325E">
        <w:rPr>
          <w:rFonts w:cs="Arial"/>
        </w:rPr>
        <w:t xml:space="preserve">ebranie danych następuje </w:t>
      </w:r>
      <w:r w:rsidR="007501E9" w:rsidRPr="0036325E">
        <w:rPr>
          <w:rFonts w:cs="Arial"/>
          <w:u w:val="single"/>
        </w:rPr>
        <w:t>w sposób analogiczny jak w arkuszu [informacje pisemne TAB 1.2]</w:t>
      </w:r>
      <w:r>
        <w:rPr>
          <w:rFonts w:cs="Arial"/>
          <w:u w:val="single"/>
        </w:rPr>
        <w:t>.</w:t>
      </w:r>
    </w:p>
    <w:p w:rsidR="007501E9" w:rsidRPr="00790FFF" w:rsidRDefault="00790FFF" w:rsidP="00B1570D">
      <w:pPr>
        <w:jc w:val="both"/>
        <w:rPr>
          <w:rFonts w:cs="Arial"/>
          <w:u w:val="single"/>
        </w:rPr>
      </w:pPr>
      <w:r w:rsidRPr="00790FFF">
        <w:rPr>
          <w:rFonts w:cs="Arial"/>
        </w:rPr>
        <w:t>W</w:t>
      </w:r>
      <w:r w:rsidR="007501E9" w:rsidRPr="0036325E">
        <w:rPr>
          <w:rFonts w:cs="Arial"/>
        </w:rPr>
        <w:t>ymaga wypełnienia:</w:t>
      </w:r>
    </w:p>
    <w:p w:rsidR="007501E9" w:rsidRPr="0036325E" w:rsidRDefault="007501E9" w:rsidP="00B1570D">
      <w:pPr>
        <w:pStyle w:val="Akapitzlist"/>
        <w:numPr>
          <w:ilvl w:val="0"/>
          <w:numId w:val="12"/>
        </w:numPr>
        <w:ind w:left="360"/>
        <w:jc w:val="both"/>
        <w:rPr>
          <w:rFonts w:cs="Arial"/>
        </w:rPr>
      </w:pPr>
      <w:r w:rsidRPr="00790FFF">
        <w:rPr>
          <w:rFonts w:cs="Arial"/>
          <w:b/>
        </w:rPr>
        <w:t>pól umożliwiających identyfikację sprawy</w:t>
      </w:r>
      <w:r w:rsidRPr="0036325E">
        <w:rPr>
          <w:rFonts w:cs="Arial"/>
        </w:rPr>
        <w:t xml:space="preserve"> (numer sprawy, dane konsumenta, przedsiębiorcy, sądu, sprawy, formy uczestnictwa w procesie)</w:t>
      </w:r>
      <w:r w:rsidR="00790FFF">
        <w:rPr>
          <w:rFonts w:cs="Arial"/>
        </w:rPr>
        <w:t>.</w:t>
      </w:r>
    </w:p>
    <w:p w:rsidR="009E2FAE" w:rsidRPr="0036325E" w:rsidRDefault="00790FFF" w:rsidP="00B1570D">
      <w:pPr>
        <w:pStyle w:val="Akapitzlist"/>
        <w:ind w:left="426"/>
        <w:jc w:val="both"/>
        <w:rPr>
          <w:rFonts w:cs="Arial"/>
        </w:rPr>
      </w:pPr>
      <w:r>
        <w:rPr>
          <w:rFonts w:cs="Arial"/>
        </w:rPr>
        <w:t>P</w:t>
      </w:r>
      <w:r w:rsidR="009E2FAE" w:rsidRPr="0036325E">
        <w:rPr>
          <w:rFonts w:cs="Arial"/>
        </w:rPr>
        <w:t xml:space="preserve">ola te </w:t>
      </w:r>
      <w:r w:rsidR="009E2FAE" w:rsidRPr="0036325E">
        <w:rPr>
          <w:rFonts w:cs="Arial"/>
          <w:u w:val="single"/>
        </w:rPr>
        <w:t>nie są obowiązkowe</w:t>
      </w:r>
      <w:r w:rsidR="009E2FAE" w:rsidRPr="0036325E">
        <w:rPr>
          <w:rFonts w:cs="Arial"/>
        </w:rPr>
        <w:t xml:space="preserve"> w tym sensie, że </w:t>
      </w:r>
      <w:r w:rsidR="009E2FAE" w:rsidRPr="0036325E">
        <w:rPr>
          <w:rFonts w:cs="Arial"/>
          <w:u w:val="single"/>
        </w:rPr>
        <w:t>nie mają żadnego znaczenia dla sprawozdawczości,</w:t>
      </w:r>
      <w:r w:rsidR="009E2FAE" w:rsidRPr="0036325E">
        <w:rPr>
          <w:rFonts w:cs="Arial"/>
        </w:rPr>
        <w:t xml:space="preserve"> </w:t>
      </w:r>
      <w:r w:rsidR="009E2FAE" w:rsidRPr="0036325E">
        <w:rPr>
          <w:rFonts w:cs="Arial"/>
        </w:rPr>
        <w:br/>
        <w:t>a dane zebrane w tych polach nie są dalej przekazywane, mogą natomiast być użyteczne w pracy rzecznika.</w:t>
      </w:r>
    </w:p>
    <w:p w:rsidR="009E2FAE" w:rsidRPr="0036325E" w:rsidRDefault="009E2FAE" w:rsidP="00B1570D">
      <w:pPr>
        <w:pStyle w:val="Akapitzlist"/>
        <w:ind w:left="426"/>
        <w:jc w:val="both"/>
        <w:rPr>
          <w:rFonts w:cs="Arial"/>
        </w:rPr>
      </w:pPr>
    </w:p>
    <w:p w:rsidR="007501E9" w:rsidRPr="0036325E" w:rsidRDefault="00790FFF" w:rsidP="00B1570D">
      <w:pPr>
        <w:pStyle w:val="Akapitzlist"/>
        <w:numPr>
          <w:ilvl w:val="0"/>
          <w:numId w:val="12"/>
        </w:numPr>
        <w:ind w:left="426" w:hanging="284"/>
        <w:jc w:val="both"/>
        <w:rPr>
          <w:rFonts w:cs="Arial"/>
        </w:rPr>
      </w:pPr>
      <w:r>
        <w:rPr>
          <w:rFonts w:cs="Arial"/>
          <w:b/>
        </w:rPr>
        <w:t>trzech pól klasyfikacyjnych</w:t>
      </w:r>
      <w:r w:rsidR="007501E9" w:rsidRPr="00790FFF">
        <w:rPr>
          <w:rFonts w:cs="Arial"/>
          <w:b/>
        </w:rPr>
        <w:t>:</w:t>
      </w:r>
      <w:r w:rsidR="007501E9" w:rsidRPr="0036325E">
        <w:rPr>
          <w:rFonts w:cs="Arial"/>
        </w:rPr>
        <w:t xml:space="preserve"> [A. </w:t>
      </w:r>
      <w:r w:rsidR="009A11EF">
        <w:rPr>
          <w:rFonts w:cs="Arial"/>
        </w:rPr>
        <w:t>sposób</w:t>
      </w:r>
      <w:r w:rsidR="007501E9" w:rsidRPr="0036325E">
        <w:rPr>
          <w:rFonts w:cs="Arial"/>
        </w:rPr>
        <w:t xml:space="preserve"> zawarcia umowy], [B. informacje sektorowe], [C. główny problem] poprzez dokonanie wyboru właściwej pozycji z </w:t>
      </w:r>
      <w:r w:rsidR="007501E9" w:rsidRPr="0036325E">
        <w:rPr>
          <w:rFonts w:cs="Arial"/>
          <w:u w:val="single"/>
        </w:rPr>
        <w:t>listy rozwijanej</w:t>
      </w:r>
      <w:r w:rsidR="007501E9" w:rsidRPr="0036325E">
        <w:rPr>
          <w:rFonts w:cs="Arial"/>
        </w:rPr>
        <w:t xml:space="preserve">. </w:t>
      </w:r>
    </w:p>
    <w:p w:rsidR="007501E9" w:rsidRPr="0036325E" w:rsidRDefault="007501E9" w:rsidP="00B1570D">
      <w:pPr>
        <w:jc w:val="both"/>
        <w:rPr>
          <w:rFonts w:cs="Arial"/>
        </w:rPr>
      </w:pPr>
    </w:p>
    <w:p w:rsidR="007501E9" w:rsidRPr="0036325E" w:rsidRDefault="007501E9" w:rsidP="00B1570D">
      <w:pPr>
        <w:ind w:hanging="426"/>
        <w:jc w:val="both"/>
        <w:rPr>
          <w:rFonts w:cs="Arial"/>
        </w:rPr>
      </w:pPr>
      <w:r w:rsidRPr="0036325E">
        <w:rPr>
          <w:rFonts w:cs="Arial"/>
          <w:noProof/>
        </w:rPr>
        <w:lastRenderedPageBreak/>
        <w:drawing>
          <wp:inline distT="0" distB="0" distL="0" distR="0" wp14:anchorId="17FE13E8" wp14:editId="094E6368">
            <wp:extent cx="6324926" cy="1686692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80" cy="168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FF" w:rsidRDefault="0036325E" w:rsidP="00B1570D">
      <w:pPr>
        <w:pStyle w:val="Akapitzlist"/>
        <w:ind w:left="284"/>
        <w:jc w:val="both"/>
        <w:rPr>
          <w:rFonts w:cs="Arial"/>
        </w:rPr>
      </w:pPr>
      <w:r w:rsidRPr="00790FFF">
        <w:rPr>
          <w:rFonts w:cs="Arial"/>
          <w:b/>
        </w:rPr>
        <w:t xml:space="preserve">Uwaga: </w:t>
      </w:r>
      <w:r w:rsidRPr="0036325E">
        <w:rPr>
          <w:rFonts w:cs="Arial"/>
        </w:rPr>
        <w:t xml:space="preserve">tabela zawiera </w:t>
      </w:r>
      <w:r w:rsidRPr="00790FFF">
        <w:rPr>
          <w:rFonts w:cs="Arial"/>
          <w:u w:val="single"/>
        </w:rPr>
        <w:t>3 ukryte kolumny, których nie należy usuwać</w:t>
      </w:r>
      <w:r w:rsidRPr="0036325E">
        <w:rPr>
          <w:rFonts w:cs="Arial"/>
        </w:rPr>
        <w:t xml:space="preserve">. </w:t>
      </w:r>
    </w:p>
    <w:p w:rsidR="0036325E" w:rsidRPr="0036325E" w:rsidRDefault="0036325E" w:rsidP="00B1570D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36325E" w:rsidRPr="0036325E" w:rsidRDefault="0036325E" w:rsidP="00B1570D">
      <w:pPr>
        <w:ind w:hanging="426"/>
        <w:jc w:val="both"/>
        <w:rPr>
          <w:rFonts w:cs="Arial"/>
        </w:rPr>
      </w:pPr>
    </w:p>
    <w:p w:rsidR="00EF34B8" w:rsidRPr="0036325E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>sądowe pomoc TAB 4.2</w:t>
      </w:r>
    </w:p>
    <w:p w:rsidR="00F15F2E" w:rsidRPr="0036325E" w:rsidRDefault="009E2FAE" w:rsidP="00B1570D">
      <w:pPr>
        <w:jc w:val="both"/>
        <w:rPr>
          <w:rFonts w:cs="Arial"/>
        </w:rPr>
      </w:pPr>
      <w:r w:rsidRPr="0036325E">
        <w:rPr>
          <w:rFonts w:cs="Arial"/>
        </w:rPr>
        <w:t xml:space="preserve">tabela służy do klasyfikowania spraw, w których </w:t>
      </w:r>
      <w:r w:rsidR="00790FFF" w:rsidRPr="00790FFF">
        <w:rPr>
          <w:rFonts w:cs="Arial"/>
          <w:u w:val="single"/>
        </w:rPr>
        <w:t>rzecznik</w:t>
      </w:r>
      <w:r w:rsidRPr="00790FFF">
        <w:rPr>
          <w:rFonts w:cs="Arial"/>
          <w:u w:val="single"/>
        </w:rPr>
        <w:t xml:space="preserve"> </w:t>
      </w:r>
      <w:r w:rsidR="00F15F2E" w:rsidRPr="00790FFF">
        <w:rPr>
          <w:rFonts w:cs="Arial"/>
          <w:u w:val="single"/>
        </w:rPr>
        <w:t>udziela konsumentom pomocy w dochodzeniu roszczeń na drodze sądowej</w:t>
      </w:r>
      <w:r w:rsidR="00F15F2E" w:rsidRPr="0036325E">
        <w:rPr>
          <w:rFonts w:cs="Arial"/>
        </w:rPr>
        <w:t xml:space="preserve"> – przygotowuje projekty pozwów, pism procesowych, środków odwoławczych itp. (ale nie występuje </w:t>
      </w:r>
      <w:r w:rsidR="00790FFF">
        <w:rPr>
          <w:rFonts w:cs="Arial"/>
        </w:rPr>
        <w:t xml:space="preserve">w </w:t>
      </w:r>
      <w:r w:rsidR="00F15F2E" w:rsidRPr="0036325E">
        <w:rPr>
          <w:rFonts w:cs="Arial"/>
        </w:rPr>
        <w:t>procesie)</w:t>
      </w:r>
      <w:r w:rsidR="00790FFF">
        <w:rPr>
          <w:rFonts w:cs="Arial"/>
        </w:rPr>
        <w:t>.</w:t>
      </w:r>
    </w:p>
    <w:p w:rsidR="00F15F2E" w:rsidRPr="0036325E" w:rsidRDefault="00F15F2E" w:rsidP="00B1570D">
      <w:pPr>
        <w:jc w:val="both"/>
        <w:rPr>
          <w:rFonts w:cs="Arial"/>
        </w:rPr>
      </w:pPr>
      <w:r w:rsidRPr="00790FFF">
        <w:rPr>
          <w:rFonts w:cs="Arial"/>
          <w:b/>
        </w:rPr>
        <w:t>Uwaga:</w:t>
      </w:r>
      <w:r w:rsidRPr="0036325E">
        <w:rPr>
          <w:rFonts w:cs="Arial"/>
        </w:rPr>
        <w:t xml:space="preserve"> w przypadku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gdy sprawa sądowa z udziałem konsumenta jest kontynuacją sprawy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w której wcześniej </w:t>
      </w:r>
      <w:r w:rsidR="00790FFF">
        <w:rPr>
          <w:rFonts w:cs="Arial"/>
        </w:rPr>
        <w:t>r</w:t>
      </w:r>
      <w:r w:rsidRPr="0036325E">
        <w:rPr>
          <w:rFonts w:cs="Arial"/>
        </w:rPr>
        <w:t>zecznik występował do przedsiębiorcy</w:t>
      </w:r>
      <w:r w:rsidR="00790FFF">
        <w:rPr>
          <w:rFonts w:cs="Arial"/>
        </w:rPr>
        <w:t>,</w:t>
      </w:r>
      <w:r w:rsidRPr="0036325E">
        <w:rPr>
          <w:rFonts w:cs="Arial"/>
        </w:rPr>
        <w:t xml:space="preserve"> zasadne jest zamknięcie sprawy „interwencyjnej</w:t>
      </w:r>
      <w:r w:rsidR="00790FFF">
        <w:rPr>
          <w:rFonts w:cs="Arial"/>
        </w:rPr>
        <w:t xml:space="preserve">” i ponowne jej zarejestrowanie, </w:t>
      </w:r>
      <w:r w:rsidRPr="0036325E">
        <w:rPr>
          <w:rFonts w:cs="Arial"/>
        </w:rPr>
        <w:t>tym razem jako związanej z udzielaniem konsum</w:t>
      </w:r>
      <w:r w:rsidR="00790FFF">
        <w:rPr>
          <w:rFonts w:cs="Arial"/>
        </w:rPr>
        <w:t xml:space="preserve">entom pomocy na drodze sądowej. </w:t>
      </w:r>
      <w:r w:rsidRPr="0036325E">
        <w:rPr>
          <w:rFonts w:cs="Arial"/>
        </w:rPr>
        <w:t>Pozwala to na ustalenie rzeczywistej liczby spraw związanych z udzielaniem konsumentom pomocy na drodze sądowej.</w:t>
      </w:r>
    </w:p>
    <w:p w:rsidR="00790FFF" w:rsidRDefault="00790FFF" w:rsidP="00B1570D">
      <w:pPr>
        <w:jc w:val="both"/>
        <w:rPr>
          <w:rFonts w:cs="Arial"/>
          <w:u w:val="single"/>
        </w:rPr>
      </w:pPr>
      <w:r>
        <w:rPr>
          <w:rFonts w:cs="Arial"/>
        </w:rPr>
        <w:t>Z</w:t>
      </w:r>
      <w:r w:rsidR="009E2FAE" w:rsidRPr="0036325E">
        <w:rPr>
          <w:rFonts w:cs="Arial"/>
        </w:rPr>
        <w:t xml:space="preserve">ebranie danych następuje </w:t>
      </w:r>
      <w:r w:rsidR="009E2FAE" w:rsidRPr="0036325E">
        <w:rPr>
          <w:rFonts w:cs="Arial"/>
          <w:u w:val="single"/>
        </w:rPr>
        <w:t xml:space="preserve">w sposób analogiczny jak w arkuszu [informacje pisemne TAB 1.2] </w:t>
      </w:r>
      <w:r>
        <w:rPr>
          <w:rFonts w:cs="Arial"/>
          <w:u w:val="single"/>
        </w:rPr>
        <w:t>.</w:t>
      </w:r>
    </w:p>
    <w:p w:rsidR="009E2FAE" w:rsidRPr="0036325E" w:rsidRDefault="00790FFF" w:rsidP="00B1570D">
      <w:pPr>
        <w:jc w:val="both"/>
        <w:rPr>
          <w:rFonts w:cs="Arial"/>
        </w:rPr>
      </w:pPr>
      <w:r>
        <w:rPr>
          <w:rFonts w:cs="Arial"/>
        </w:rPr>
        <w:t>W</w:t>
      </w:r>
      <w:r w:rsidR="009E2FAE" w:rsidRPr="0036325E">
        <w:rPr>
          <w:rFonts w:cs="Arial"/>
        </w:rPr>
        <w:t>ymaga wypełnienia:</w:t>
      </w:r>
    </w:p>
    <w:p w:rsidR="009E2FAE" w:rsidRPr="0036325E" w:rsidRDefault="009E2FAE" w:rsidP="00B1570D">
      <w:pPr>
        <w:pStyle w:val="Akapitzlist"/>
        <w:numPr>
          <w:ilvl w:val="0"/>
          <w:numId w:val="12"/>
        </w:numPr>
        <w:ind w:left="360"/>
        <w:jc w:val="both"/>
        <w:rPr>
          <w:rFonts w:cs="Arial"/>
        </w:rPr>
      </w:pPr>
      <w:r w:rsidRPr="00790FFF">
        <w:rPr>
          <w:rFonts w:cs="Arial"/>
          <w:b/>
        </w:rPr>
        <w:t>pól umożliwiających identyfikację sprawy</w:t>
      </w:r>
      <w:r w:rsidRPr="0036325E">
        <w:rPr>
          <w:rFonts w:cs="Arial"/>
        </w:rPr>
        <w:t xml:space="preserve"> (numer sprawy, dane konsumenta, przedsiębiorcy, sądu, sprawy, formy uczestnictwa w procesie)</w:t>
      </w:r>
      <w:r w:rsidR="00790FFF">
        <w:rPr>
          <w:rFonts w:cs="Arial"/>
        </w:rPr>
        <w:t>.</w:t>
      </w:r>
    </w:p>
    <w:p w:rsidR="009E2FAE" w:rsidRDefault="00790FFF" w:rsidP="00B1570D">
      <w:pPr>
        <w:pStyle w:val="Akapitzlist"/>
        <w:ind w:left="426"/>
        <w:jc w:val="both"/>
        <w:rPr>
          <w:rFonts w:cs="Arial"/>
        </w:rPr>
      </w:pPr>
      <w:r>
        <w:rPr>
          <w:rFonts w:cs="Arial"/>
        </w:rPr>
        <w:t>P</w:t>
      </w:r>
      <w:r w:rsidR="009E2FAE" w:rsidRPr="0036325E">
        <w:rPr>
          <w:rFonts w:cs="Arial"/>
        </w:rPr>
        <w:t xml:space="preserve">ola te </w:t>
      </w:r>
      <w:r w:rsidR="009E2FAE" w:rsidRPr="0036325E">
        <w:rPr>
          <w:rFonts w:cs="Arial"/>
          <w:u w:val="single"/>
        </w:rPr>
        <w:t>nie są obowiązkowe</w:t>
      </w:r>
      <w:r w:rsidR="009E2FAE" w:rsidRPr="0036325E">
        <w:rPr>
          <w:rFonts w:cs="Arial"/>
        </w:rPr>
        <w:t xml:space="preserve"> w tym sensie, że </w:t>
      </w:r>
      <w:r w:rsidR="009E2FAE" w:rsidRPr="0036325E">
        <w:rPr>
          <w:rFonts w:cs="Arial"/>
          <w:u w:val="single"/>
        </w:rPr>
        <w:t>nie mają żadnego znaczenia dla sprawozdawczości,</w:t>
      </w:r>
      <w:r w:rsidR="009E2FAE" w:rsidRPr="0036325E">
        <w:rPr>
          <w:rFonts w:cs="Arial"/>
        </w:rPr>
        <w:t xml:space="preserve"> </w:t>
      </w:r>
      <w:r w:rsidR="009E2FAE" w:rsidRPr="0036325E">
        <w:rPr>
          <w:rFonts w:cs="Arial"/>
        </w:rPr>
        <w:br/>
        <w:t>a dane zebrane w tych polach nie są dalej przekazywane, mogą natomiast</w:t>
      </w:r>
      <w:r>
        <w:rPr>
          <w:rFonts w:cs="Arial"/>
        </w:rPr>
        <w:t xml:space="preserve"> być użyteczne w pracy rzecznika</w:t>
      </w:r>
      <w:r w:rsidR="009E2FAE" w:rsidRPr="0036325E">
        <w:rPr>
          <w:rFonts w:cs="Arial"/>
        </w:rPr>
        <w:t>.</w:t>
      </w:r>
    </w:p>
    <w:p w:rsidR="00790FFF" w:rsidRPr="0036325E" w:rsidRDefault="00790FFF" w:rsidP="00B1570D">
      <w:pPr>
        <w:pStyle w:val="Akapitzlist"/>
        <w:ind w:left="426"/>
        <w:jc w:val="both"/>
        <w:rPr>
          <w:rFonts w:cs="Arial"/>
        </w:rPr>
      </w:pPr>
    </w:p>
    <w:p w:rsidR="009E2FAE" w:rsidRPr="0036325E" w:rsidRDefault="00790FFF" w:rsidP="00B1570D">
      <w:pPr>
        <w:pStyle w:val="Akapitzlist"/>
        <w:numPr>
          <w:ilvl w:val="0"/>
          <w:numId w:val="12"/>
        </w:numPr>
        <w:ind w:left="426" w:hanging="284"/>
        <w:jc w:val="both"/>
        <w:rPr>
          <w:rFonts w:cs="Arial"/>
        </w:rPr>
      </w:pPr>
      <w:r>
        <w:rPr>
          <w:rFonts w:cs="Arial"/>
          <w:b/>
        </w:rPr>
        <w:t>trzech pól klasyfikacyjnych</w:t>
      </w:r>
      <w:r w:rsidR="009E2FAE" w:rsidRPr="00790FFF">
        <w:rPr>
          <w:rFonts w:cs="Arial"/>
          <w:b/>
        </w:rPr>
        <w:t>:</w:t>
      </w:r>
      <w:r w:rsidR="009E2FAE" w:rsidRPr="0036325E">
        <w:rPr>
          <w:rFonts w:cs="Arial"/>
        </w:rPr>
        <w:t xml:space="preserve"> [A. </w:t>
      </w:r>
      <w:r w:rsidR="009A11EF">
        <w:rPr>
          <w:rFonts w:cs="Arial"/>
        </w:rPr>
        <w:t>sposób</w:t>
      </w:r>
      <w:r w:rsidR="009E2FAE" w:rsidRPr="0036325E">
        <w:rPr>
          <w:rFonts w:cs="Arial"/>
        </w:rPr>
        <w:t xml:space="preserve"> zawarcia umowy], [B. informacje sektorowe], [C. główny problem] poprzez dokonanie wyboru właściwej pozycji z </w:t>
      </w:r>
      <w:r w:rsidR="009E2FAE" w:rsidRPr="0036325E">
        <w:rPr>
          <w:rFonts w:cs="Arial"/>
          <w:u w:val="single"/>
        </w:rPr>
        <w:t>listy rozwijanej</w:t>
      </w:r>
      <w:r w:rsidR="009E2FAE" w:rsidRPr="0036325E">
        <w:rPr>
          <w:rFonts w:cs="Arial"/>
        </w:rPr>
        <w:t xml:space="preserve">. </w:t>
      </w:r>
    </w:p>
    <w:p w:rsidR="009E2FAE" w:rsidRPr="0036325E" w:rsidRDefault="009E2FAE" w:rsidP="00B1570D">
      <w:pPr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2814AB94" wp14:editId="3C070F61">
            <wp:extent cx="5934075" cy="2381250"/>
            <wp:effectExtent l="19050" t="0" r="952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FF" w:rsidRDefault="0036325E" w:rsidP="00B1570D">
      <w:pPr>
        <w:pStyle w:val="Akapitzlist"/>
        <w:ind w:left="284"/>
        <w:jc w:val="both"/>
        <w:rPr>
          <w:rFonts w:cs="Arial"/>
        </w:rPr>
      </w:pPr>
      <w:r w:rsidRPr="00790FFF">
        <w:rPr>
          <w:rFonts w:cs="Arial"/>
          <w:b/>
        </w:rPr>
        <w:lastRenderedPageBreak/>
        <w:t>Uwaga:</w:t>
      </w:r>
      <w:r w:rsidRPr="0036325E">
        <w:rPr>
          <w:rFonts w:cs="Arial"/>
        </w:rPr>
        <w:t xml:space="preserve"> tabela zawiera 3 ukryte </w:t>
      </w:r>
      <w:r w:rsidRPr="00790FFF">
        <w:rPr>
          <w:rFonts w:cs="Arial"/>
          <w:u w:val="single"/>
        </w:rPr>
        <w:t>kolumny, których nie należy usuwać.</w:t>
      </w:r>
      <w:r w:rsidRPr="0036325E">
        <w:rPr>
          <w:rFonts w:cs="Arial"/>
        </w:rPr>
        <w:t xml:space="preserve"> </w:t>
      </w:r>
    </w:p>
    <w:p w:rsidR="0036325E" w:rsidRPr="0036325E" w:rsidRDefault="0036325E" w:rsidP="00B1570D">
      <w:pPr>
        <w:pStyle w:val="Akapitzlist"/>
        <w:ind w:left="284"/>
        <w:jc w:val="both"/>
        <w:rPr>
          <w:rFonts w:cs="Arial"/>
        </w:rPr>
      </w:pPr>
      <w:r w:rsidRPr="0036325E">
        <w:rPr>
          <w:rFonts w:cs="Arial"/>
        </w:rPr>
        <w:t>Usunięcie tych kolumn spowoduje usunięcie zawartości list rozwijanych.</w:t>
      </w:r>
    </w:p>
    <w:p w:rsidR="00EF34B8" w:rsidRPr="0036325E" w:rsidRDefault="00EF34B8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 xml:space="preserve">kategorie sektorowe </w:t>
      </w:r>
    </w:p>
    <w:p w:rsidR="00F15F2E" w:rsidRPr="00790FFF" w:rsidRDefault="00F15F2E" w:rsidP="00B1570D">
      <w:pPr>
        <w:spacing w:after="0"/>
        <w:jc w:val="both"/>
        <w:rPr>
          <w:rFonts w:cs="Arial"/>
        </w:rPr>
      </w:pPr>
      <w:r w:rsidRPr="0036325E">
        <w:rPr>
          <w:rFonts w:cs="Arial"/>
        </w:rPr>
        <w:t xml:space="preserve">W celu zachowania jednolitości klasyfikacji spraw przez wszystkich rzeczników w kraju przy klasyfikacji sektorowej należy stosować jako regułę interpretacyjną </w:t>
      </w:r>
      <w:r w:rsidRPr="00790FFF">
        <w:rPr>
          <w:rFonts w:cs="Arial"/>
        </w:rPr>
        <w:t xml:space="preserve">klasyfikację spraw </w:t>
      </w:r>
      <w:r w:rsidRPr="00790FFF">
        <w:rPr>
          <w:rFonts w:cs="Arial"/>
          <w:bCs/>
        </w:rPr>
        <w:t xml:space="preserve">ustaloną </w:t>
      </w:r>
      <w:r w:rsidRPr="00790FFF">
        <w:rPr>
          <w:rFonts w:cs="Arial"/>
        </w:rPr>
        <w:t xml:space="preserve">Zaleceniami Komisji Europejskiej z dnia 12 maja 2010 r. </w:t>
      </w:r>
      <w:r w:rsidRPr="00790FFF">
        <w:rPr>
          <w:rFonts w:cs="Arial"/>
          <w:bCs/>
        </w:rPr>
        <w:t xml:space="preserve">w sprawie zharmonizowanej metodologii  klasyfikacji i zgłaszania skarg i zapytań konsumentów </w:t>
      </w:r>
      <w:r w:rsidRPr="00790FFF">
        <w:rPr>
          <w:rFonts w:cs="Arial"/>
        </w:rPr>
        <w:t xml:space="preserve">(DZ. U. UE 2.6.2010). </w:t>
      </w:r>
    </w:p>
    <w:p w:rsidR="00F15F2E" w:rsidRPr="0036325E" w:rsidRDefault="00F15F2E" w:rsidP="00B1570D">
      <w:pPr>
        <w:spacing w:after="0"/>
        <w:jc w:val="both"/>
        <w:rPr>
          <w:rFonts w:cs="Arial"/>
        </w:rPr>
      </w:pPr>
      <w:r w:rsidRPr="0036325E">
        <w:rPr>
          <w:rFonts w:cs="Arial"/>
        </w:rPr>
        <w:t xml:space="preserve">W celu ułatwienia korzystania z niej opracowano </w:t>
      </w:r>
      <w:r w:rsidRPr="00790FFF">
        <w:rPr>
          <w:rFonts w:cs="Arial"/>
          <w:b/>
        </w:rPr>
        <w:t>wyciąg z zaleceń dostosowanych do przyjętych kategorii sektorowych.</w:t>
      </w:r>
      <w:r w:rsidRPr="0036325E">
        <w:rPr>
          <w:rFonts w:cs="Arial"/>
        </w:rPr>
        <w:t xml:space="preserve"> Wyciąg ten znajduje się w arkuszu [kategorie sektorowe]. </w:t>
      </w:r>
    </w:p>
    <w:p w:rsidR="00EF34B8" w:rsidRDefault="00EF34B8" w:rsidP="00B1570D">
      <w:pPr>
        <w:jc w:val="both"/>
        <w:rPr>
          <w:rFonts w:cs="Arial"/>
        </w:rPr>
      </w:pPr>
    </w:p>
    <w:p w:rsidR="00B1570D" w:rsidRPr="0036325E" w:rsidRDefault="00B1570D" w:rsidP="00B1570D">
      <w:pPr>
        <w:jc w:val="both"/>
        <w:rPr>
          <w:rFonts w:cs="Arial"/>
        </w:rPr>
      </w:pPr>
    </w:p>
    <w:p w:rsidR="0036325E" w:rsidRPr="00B1570D" w:rsidRDefault="00B1570D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B1570D">
        <w:rPr>
          <w:rFonts w:cs="Arial"/>
          <w:b/>
        </w:rPr>
        <w:t>KORZYSTANIE Z TABEL</w:t>
      </w:r>
    </w:p>
    <w:p w:rsidR="0036325E" w:rsidRPr="0036325E" w:rsidRDefault="00790FFF" w:rsidP="00B1570D">
      <w:pPr>
        <w:jc w:val="both"/>
        <w:rPr>
          <w:rFonts w:cs="Arial"/>
        </w:rPr>
      </w:pPr>
      <w:r>
        <w:rPr>
          <w:rFonts w:cs="Arial"/>
        </w:rPr>
        <w:t>Tabele umożliwiają</w:t>
      </w:r>
      <w:r w:rsidR="0036325E" w:rsidRPr="0036325E">
        <w:rPr>
          <w:rFonts w:cs="Arial"/>
        </w:rPr>
        <w:t xml:space="preserve"> oczywiście wyszukiwanie spraw określonego rodzaju (np. poprzez korzystanie z opcji [szukaj] (skrót klawiszowy Ctrl+F) i ich dowolne sortowanie (poprzez stosownie filtrów)</w:t>
      </w:r>
    </w:p>
    <w:p w:rsidR="0036325E" w:rsidRPr="0036325E" w:rsidRDefault="0036325E" w:rsidP="00B1570D">
      <w:pPr>
        <w:jc w:val="both"/>
        <w:rPr>
          <w:rFonts w:cs="Arial"/>
        </w:rPr>
      </w:pPr>
      <w:r w:rsidRPr="0036325E">
        <w:rPr>
          <w:rFonts w:cs="Arial"/>
          <w:noProof/>
        </w:rPr>
        <w:drawing>
          <wp:inline distT="0" distB="0" distL="0" distR="0" wp14:anchorId="75E5C212" wp14:editId="0A531179">
            <wp:extent cx="5934075" cy="2781300"/>
            <wp:effectExtent l="19050" t="0" r="9525" b="0"/>
            <wp:docPr id="2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5E" w:rsidRPr="0036325E" w:rsidRDefault="0036325E" w:rsidP="00B1570D">
      <w:pPr>
        <w:jc w:val="both"/>
        <w:rPr>
          <w:rFonts w:cs="Arial"/>
          <w:b/>
        </w:rPr>
      </w:pPr>
    </w:p>
    <w:p w:rsidR="00790FFF" w:rsidRDefault="00790FFF" w:rsidP="00790FFF">
      <w:pPr>
        <w:jc w:val="both"/>
        <w:rPr>
          <w:rFonts w:cs="Arial"/>
        </w:rPr>
      </w:pPr>
      <w:r w:rsidRPr="001D794E">
        <w:rPr>
          <w:rFonts w:cs="Arial"/>
          <w:b/>
        </w:rPr>
        <w:t>Możliwe jest rozbudowywanie tabel</w:t>
      </w:r>
      <w:r>
        <w:rPr>
          <w:rFonts w:cs="Arial"/>
        </w:rPr>
        <w:t>, w szczególności poprzez</w:t>
      </w:r>
      <w:r w:rsidR="001D794E">
        <w:rPr>
          <w:rFonts w:cs="Arial"/>
        </w:rPr>
        <w:t xml:space="preserve"> dodawanie kolumn w celu odnotowywanie </w:t>
      </w:r>
      <w:r>
        <w:rPr>
          <w:rFonts w:cs="Arial"/>
        </w:rPr>
        <w:t xml:space="preserve"> innych niż wskazane danych </w:t>
      </w:r>
      <w:r w:rsidRPr="00790FFF">
        <w:rPr>
          <w:rFonts w:cs="Arial"/>
        </w:rPr>
        <w:t>identyfik</w:t>
      </w:r>
      <w:r w:rsidR="001D794E">
        <w:rPr>
          <w:rFonts w:cs="Arial"/>
        </w:rPr>
        <w:t xml:space="preserve">ujących sprawę, które rzecznik uzna za użyteczne. </w:t>
      </w:r>
    </w:p>
    <w:p w:rsidR="001D794E" w:rsidRPr="00790FFF" w:rsidRDefault="001D794E" w:rsidP="00790FFF">
      <w:pPr>
        <w:jc w:val="both"/>
        <w:rPr>
          <w:rFonts w:cs="Arial"/>
        </w:rPr>
      </w:pPr>
    </w:p>
    <w:p w:rsidR="00B92696" w:rsidRPr="0036325E" w:rsidRDefault="00B1570D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36325E">
        <w:rPr>
          <w:rFonts w:cs="Arial"/>
          <w:b/>
        </w:rPr>
        <w:t xml:space="preserve">PRZETWARZANIE DANYCH </w:t>
      </w:r>
    </w:p>
    <w:p w:rsidR="00354488" w:rsidRPr="0036325E" w:rsidRDefault="00354488" w:rsidP="00B1570D">
      <w:pPr>
        <w:jc w:val="both"/>
        <w:rPr>
          <w:rFonts w:cs="Arial"/>
        </w:rPr>
      </w:pPr>
      <w:r w:rsidRPr="0036325E">
        <w:rPr>
          <w:rFonts w:cs="Arial"/>
        </w:rPr>
        <w:t>Zebrane w opisanych wyżej tabelach d</w:t>
      </w:r>
      <w:r w:rsidR="00B92696" w:rsidRPr="0036325E">
        <w:rPr>
          <w:rFonts w:cs="Arial"/>
        </w:rPr>
        <w:t xml:space="preserve">ane </w:t>
      </w:r>
      <w:r w:rsidRPr="0036325E">
        <w:rPr>
          <w:rFonts w:cs="Arial"/>
        </w:rPr>
        <w:t xml:space="preserve">dotyczące spraw prowadzonych w konkretnym przedziale czasowym (np. kwartał lub rok) wymagają przetworzenia. </w:t>
      </w:r>
    </w:p>
    <w:p w:rsidR="00354488" w:rsidRPr="0036325E" w:rsidRDefault="00354488" w:rsidP="00B1570D">
      <w:pPr>
        <w:pStyle w:val="NormalnyWeb"/>
        <w:jc w:val="both"/>
        <w:rPr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sz w:val="22"/>
          <w:szCs w:val="22"/>
        </w:rPr>
        <w:t xml:space="preserve">Jednym z narzędzi przetwarzania danych, które może być stosowane jest </w:t>
      </w:r>
      <w:r w:rsidRPr="0036325E">
        <w:rPr>
          <w:rFonts w:asciiTheme="minorHAnsi" w:hAnsiTheme="minorHAnsi" w:cs="Arial"/>
          <w:b/>
          <w:sz w:val="22"/>
          <w:szCs w:val="22"/>
        </w:rPr>
        <w:t>tabela przestawna</w:t>
      </w:r>
    </w:p>
    <w:p w:rsidR="001D794E" w:rsidRDefault="00354488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sz w:val="22"/>
          <w:szCs w:val="22"/>
          <w:u w:val="single"/>
        </w:rPr>
        <w:t>Tabela przestawna</w:t>
      </w:r>
      <w:r w:rsidRPr="0036325E">
        <w:rPr>
          <w:rFonts w:asciiTheme="minorHAnsi" w:hAnsiTheme="minorHAnsi" w:cs="Arial"/>
          <w:sz w:val="22"/>
          <w:szCs w:val="22"/>
        </w:rPr>
        <w:t xml:space="preserve"> to narzędzie arkusza kalkulacyjnego pozwalające filtrować, wybierać, przestawiać kolumny i wiersze z danymi w arkuszu kalkulacyjnym, aby uzyskać wynikowy, odmienny, bardziej przejrzysty i użyteczny od pierwotnego (źródłowego) układ danych, bez naruszania oryginalnej źródłowej tabeli lub tabel. </w:t>
      </w:r>
    </w:p>
    <w:p w:rsidR="00354488" w:rsidRPr="0036325E" w:rsidRDefault="00354488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sz w:val="22"/>
          <w:szCs w:val="22"/>
        </w:rPr>
        <w:lastRenderedPageBreak/>
        <w:t xml:space="preserve">Zazwyczaj tabela przestawna jest generowana przez arkusz kalkulacyjny w odrębnej zakładce, na podstawie wprowadzonych w oknie dialogowym poleceń użytkownika, i może być automatycznie aktualizowana, gdy zmieniane są dane źródłowe. </w:t>
      </w:r>
    </w:p>
    <w:p w:rsidR="00354488" w:rsidRPr="0036325E" w:rsidRDefault="00354488" w:rsidP="00B1570D">
      <w:pPr>
        <w:pStyle w:val="NormalnyWeb"/>
        <w:spacing w:before="0" w:beforeAutospacing="0" w:after="0" w:afterAutospacing="0"/>
        <w:jc w:val="both"/>
        <w:rPr>
          <w:rStyle w:val="needref"/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sz w:val="22"/>
          <w:szCs w:val="22"/>
        </w:rPr>
        <w:t xml:space="preserve">Technika ta umożliwia uzyskanie informacji niewidocznych na ogół w skomplikowanym i wielowymiarowym, oryginalnym układzie tabeli (tzw. danych źródłowych) i sprawienie, że są one bardziej czytelne dla użytkownika. Dzięki temu technika tabel przestawnych </w:t>
      </w:r>
      <w:r w:rsidRPr="0036325E">
        <w:rPr>
          <w:rStyle w:val="needref"/>
          <w:rFonts w:asciiTheme="minorHAnsi" w:hAnsiTheme="minorHAnsi" w:cs="Arial"/>
          <w:sz w:val="22"/>
          <w:szCs w:val="22"/>
        </w:rPr>
        <w:t xml:space="preserve">jest ceniona jako narzędzie analityczne, szczególnie w środowisku biurowym  </w:t>
      </w:r>
      <w:r w:rsidR="001D794E">
        <w:rPr>
          <w:rStyle w:val="needref"/>
          <w:rFonts w:asciiTheme="minorHAnsi" w:hAnsiTheme="minorHAnsi" w:cs="Arial"/>
          <w:sz w:val="22"/>
          <w:szCs w:val="22"/>
        </w:rPr>
        <w:t>(źródło: wikipedia).</w:t>
      </w:r>
    </w:p>
    <w:p w:rsidR="00915B72" w:rsidRPr="0036325E" w:rsidRDefault="00915B72" w:rsidP="00B1570D">
      <w:pPr>
        <w:spacing w:after="0" w:line="240" w:lineRule="auto"/>
        <w:ind w:right="1134"/>
        <w:jc w:val="both"/>
        <w:rPr>
          <w:rFonts w:eastAsia="Times New Roman" w:cs="Arial"/>
        </w:rPr>
      </w:pP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Zanim wstawimy tabelę przestawną w tabelach, należy pozbyć się pustych pól.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Puste pola występują w tych arkuszach zbierania danych gdzie występują sprawy klasyfikowane jako 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[4. niekonsumenckie]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[5. Informacje ogólne]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W tych arkuszach najpierw: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Zaznacz pola w kolumnie [A. sposób zawarcia umowy] </w:t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Kli</w:t>
      </w:r>
      <w:r w:rsidR="004223E1">
        <w:rPr>
          <w:rFonts w:eastAsia="Times New Roman" w:cs="Arial"/>
        </w:rPr>
        <w:t>kn</w:t>
      </w:r>
      <w:r>
        <w:rPr>
          <w:rFonts w:eastAsia="Times New Roman" w:cs="Arial"/>
        </w:rPr>
        <w:t xml:space="preserve">ij przycisk </w:t>
      </w:r>
      <w:r w:rsidR="004223E1">
        <w:rPr>
          <w:rFonts w:eastAsia="Times New Roman" w:cs="Arial"/>
        </w:rPr>
        <w:t>[Sortuj AZ]</w:t>
      </w:r>
    </w:p>
    <w:p w:rsidR="004223E1" w:rsidRDefault="004223E1" w:rsidP="001D794E">
      <w:pPr>
        <w:spacing w:after="0" w:line="240" w:lineRule="auto"/>
        <w:ind w:right="-1"/>
        <w:jc w:val="both"/>
        <w:rPr>
          <w:rFonts w:eastAsia="Times New Roman" w:cs="Arial"/>
        </w:rPr>
      </w:pPr>
    </w:p>
    <w:p w:rsidR="004223E1" w:rsidRDefault="004223E1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Wybierz opcję [Rozszerzyć zaznaczony obszar]</w:t>
      </w:r>
    </w:p>
    <w:p w:rsidR="004223E1" w:rsidRDefault="004223E1" w:rsidP="001D794E">
      <w:pPr>
        <w:spacing w:after="0" w:line="240" w:lineRule="auto"/>
        <w:ind w:right="-1"/>
        <w:jc w:val="both"/>
        <w:rPr>
          <w:rFonts w:eastAsia="Times New Roman" w:cs="Arial"/>
        </w:rPr>
      </w:pP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  <w:noProof/>
        </w:rPr>
        <w:drawing>
          <wp:inline distT="0" distB="0" distL="0" distR="0">
            <wp:extent cx="6021705" cy="38468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EF" w:rsidRDefault="009A11EF" w:rsidP="001D794E">
      <w:pPr>
        <w:spacing w:after="0" w:line="240" w:lineRule="auto"/>
        <w:ind w:right="-1"/>
        <w:jc w:val="both"/>
        <w:rPr>
          <w:rFonts w:eastAsia="Times New Roman" w:cs="Arial"/>
        </w:rPr>
      </w:pPr>
    </w:p>
    <w:p w:rsidR="004223E1" w:rsidRDefault="004223E1" w:rsidP="004223E1">
      <w:pPr>
        <w:spacing w:line="240" w:lineRule="auto"/>
        <w:ind w:right="-1"/>
        <w:jc w:val="both"/>
        <w:rPr>
          <w:rFonts w:eastAsia="Times New Roman" w:cs="Arial"/>
        </w:rPr>
      </w:pPr>
    </w:p>
    <w:p w:rsidR="008C1C02" w:rsidRPr="004223E1" w:rsidRDefault="004223E1" w:rsidP="004223E1">
      <w:pPr>
        <w:spacing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W ten sposób oddzielisz </w:t>
      </w:r>
      <w:r w:rsidRPr="004223E1">
        <w:rPr>
          <w:rFonts w:eastAsia="Times New Roman" w:cs="Arial"/>
        </w:rPr>
        <w:t xml:space="preserve">sprawy niekwalifikowane i </w:t>
      </w:r>
      <w:r>
        <w:rPr>
          <w:rFonts w:eastAsia="Times New Roman" w:cs="Arial"/>
        </w:rPr>
        <w:t xml:space="preserve">będziesz mógł je zliczyć. </w:t>
      </w:r>
    </w:p>
    <w:p w:rsidR="004223E1" w:rsidRDefault="004223E1" w:rsidP="004223E1">
      <w:pPr>
        <w:spacing w:after="0" w:line="240" w:lineRule="auto"/>
        <w:ind w:right="-1"/>
        <w:jc w:val="both"/>
        <w:rPr>
          <w:rFonts w:eastAsia="Times New Roman" w:cs="Arial"/>
        </w:rPr>
      </w:pPr>
    </w:p>
    <w:p w:rsidR="004223E1" w:rsidRDefault="004223E1" w:rsidP="004223E1">
      <w:pPr>
        <w:spacing w:line="240" w:lineRule="auto"/>
        <w:ind w:right="-1"/>
        <w:jc w:val="both"/>
        <w:rPr>
          <w:rFonts w:eastAsia="Times New Roman" w:cs="Arial"/>
        </w:rPr>
      </w:pPr>
    </w:p>
    <w:p w:rsidR="00915B72" w:rsidRPr="0036325E" w:rsidRDefault="004223E1" w:rsidP="004223E1">
      <w:pPr>
        <w:spacing w:line="240" w:lineRule="auto"/>
        <w:ind w:right="-1"/>
        <w:jc w:val="both"/>
        <w:rPr>
          <w:rFonts w:eastAsia="Times New Roman" w:cs="Arial"/>
        </w:rPr>
      </w:pPr>
      <w:r>
        <w:rPr>
          <w:rFonts w:eastAsia="Times New Roman" w:cs="Arial"/>
        </w:rPr>
        <w:t>Następnie z</w:t>
      </w:r>
      <w:r w:rsidRPr="004223E1">
        <w:rPr>
          <w:rFonts w:eastAsia="Times New Roman" w:cs="Arial"/>
        </w:rPr>
        <w:t>aznacz obszar z danymi kwalifikow</w:t>
      </w:r>
      <w:r>
        <w:rPr>
          <w:rFonts w:eastAsia="Times New Roman" w:cs="Arial"/>
        </w:rPr>
        <w:t xml:space="preserve">anymi i wstaw Tabelę przestawną – wybierając </w:t>
      </w:r>
      <w:r w:rsidR="00915B72" w:rsidRPr="0036325E">
        <w:rPr>
          <w:rFonts w:eastAsia="Times New Roman" w:cs="Arial"/>
        </w:rPr>
        <w:t>ze wstążki [WSTAWI</w:t>
      </w:r>
      <w:r>
        <w:rPr>
          <w:rFonts w:eastAsia="Times New Roman" w:cs="Arial"/>
        </w:rPr>
        <w:t>ANIE] ikonę [Tabela przestawna].</w:t>
      </w:r>
    </w:p>
    <w:p w:rsidR="00915B72" w:rsidRPr="0036325E" w:rsidRDefault="00915B72" w:rsidP="00B1570D">
      <w:pPr>
        <w:spacing w:after="0" w:line="240" w:lineRule="auto"/>
        <w:ind w:right="1134"/>
        <w:jc w:val="both"/>
        <w:rPr>
          <w:rFonts w:eastAsia="Times New Roman" w:cs="Times New Roman"/>
        </w:rPr>
      </w:pPr>
    </w:p>
    <w:p w:rsidR="00915B72" w:rsidRPr="0036325E" w:rsidRDefault="00915B72" w:rsidP="00B1570D">
      <w:pPr>
        <w:spacing w:after="0" w:line="240" w:lineRule="auto"/>
        <w:ind w:right="1134"/>
        <w:jc w:val="both"/>
        <w:rPr>
          <w:rFonts w:eastAsia="Times New Roman" w:cs="Times New Roman"/>
        </w:rPr>
      </w:pPr>
      <w:r w:rsidRPr="0036325E">
        <w:rPr>
          <w:rFonts w:eastAsia="Times New Roman" w:cs="Times New Roman"/>
        </w:rPr>
        <w:t xml:space="preserve">Poniżej widok ekranu dla wersji Microsoft Office Excel 2007. </w:t>
      </w:r>
    </w:p>
    <w:p w:rsidR="00915B72" w:rsidRPr="0036325E" w:rsidRDefault="00915B72" w:rsidP="00B1570D">
      <w:pPr>
        <w:pStyle w:val="NormalnyWeb"/>
        <w:spacing w:before="0" w:beforeAutospacing="0" w:after="0" w:afterAutospacing="0"/>
        <w:jc w:val="both"/>
        <w:rPr>
          <w:rStyle w:val="needref"/>
          <w:rFonts w:asciiTheme="minorHAnsi" w:hAnsiTheme="minorHAnsi" w:cs="Arial"/>
          <w:sz w:val="22"/>
          <w:szCs w:val="22"/>
        </w:rPr>
      </w:pPr>
    </w:p>
    <w:p w:rsidR="00B87869" w:rsidRPr="0036325E" w:rsidRDefault="00915B72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2FD1F5D9" wp14:editId="24D143BA">
            <wp:extent cx="4544712" cy="3525933"/>
            <wp:effectExtent l="19050" t="0" r="8238" b="0"/>
            <wp:docPr id="1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54" cy="35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72" w:rsidRPr="0036325E" w:rsidRDefault="00915B72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A96D70" w:rsidRPr="0036325E" w:rsidRDefault="00A96D70" w:rsidP="001D794E">
      <w:pPr>
        <w:spacing w:after="0" w:line="240" w:lineRule="auto"/>
        <w:ind w:right="-1"/>
        <w:jc w:val="both"/>
        <w:rPr>
          <w:rFonts w:eastAsia="Times New Roman" w:cs="Arial"/>
        </w:rPr>
      </w:pPr>
      <w:r w:rsidRPr="0036325E">
        <w:rPr>
          <w:rFonts w:cs="Arial"/>
        </w:rPr>
        <w:t>Wyświetlone zostanie okno [tworzenie tabeli przestawnej</w:t>
      </w:r>
      <w:r w:rsidR="001D794E">
        <w:rPr>
          <w:rFonts w:cs="Arial"/>
        </w:rPr>
        <w:t>]</w:t>
      </w:r>
      <w:r w:rsidRPr="0036325E">
        <w:rPr>
          <w:rFonts w:cs="Arial"/>
        </w:rPr>
        <w:t xml:space="preserve"> z zapytaniem</w:t>
      </w:r>
      <w:r w:rsidR="001D794E">
        <w:rPr>
          <w:rFonts w:cs="Arial"/>
        </w:rPr>
        <w:t>,</w:t>
      </w:r>
      <w:r w:rsidRPr="0036325E">
        <w:rPr>
          <w:rFonts w:cs="Arial"/>
        </w:rPr>
        <w:t xml:space="preserve"> gdzie umieścić raport tabeli przestawnej. D</w:t>
      </w:r>
      <w:r w:rsidRPr="0036325E">
        <w:rPr>
          <w:rFonts w:eastAsia="Times New Roman" w:cs="Arial"/>
        </w:rPr>
        <w:t xml:space="preserve">omyślnie ustawiona jest opcja wstawiania tabeli przestawnej w nowym arkuszu </w:t>
      </w:r>
      <w:r w:rsidR="001D794E">
        <w:rPr>
          <w:rFonts w:eastAsia="Times New Roman" w:cs="Arial"/>
        </w:rPr>
        <w:t xml:space="preserve">i można </w:t>
      </w:r>
      <w:r w:rsidRPr="0036325E">
        <w:rPr>
          <w:rFonts w:eastAsia="Times New Roman" w:cs="Arial"/>
        </w:rPr>
        <w:t xml:space="preserve">śmiało </w:t>
      </w:r>
      <w:r w:rsidR="001D794E">
        <w:rPr>
          <w:rFonts w:eastAsia="Times New Roman" w:cs="Arial"/>
        </w:rPr>
        <w:t xml:space="preserve">ją zaakceptować wybierając </w:t>
      </w:r>
      <w:r w:rsidRPr="0036325E">
        <w:rPr>
          <w:rFonts w:eastAsia="Times New Roman" w:cs="Arial"/>
        </w:rPr>
        <w:t>OK.</w:t>
      </w:r>
    </w:p>
    <w:p w:rsidR="00915B72" w:rsidRPr="0036325E" w:rsidRDefault="00915B72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A96D70" w:rsidRPr="0036325E" w:rsidRDefault="00A96D70" w:rsidP="00B1570D">
      <w:pPr>
        <w:spacing w:after="0" w:line="240" w:lineRule="auto"/>
        <w:ind w:right="1134"/>
        <w:jc w:val="both"/>
        <w:rPr>
          <w:rFonts w:eastAsia="Times New Roman" w:cs="Arial"/>
        </w:rPr>
      </w:pPr>
      <w:r w:rsidRPr="0036325E">
        <w:rPr>
          <w:rFonts w:eastAsia="Times New Roman" w:cs="Arial"/>
          <w:noProof/>
        </w:rPr>
        <w:drawing>
          <wp:inline distT="0" distB="0" distL="0" distR="0" wp14:anchorId="0B1FEB66" wp14:editId="62965DB4">
            <wp:extent cx="2979523" cy="2107529"/>
            <wp:effectExtent l="19050" t="0" r="0" b="0"/>
            <wp:docPr id="2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7" cy="210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70" w:rsidRPr="0036325E" w:rsidRDefault="00A96D70" w:rsidP="00B1570D">
      <w:pPr>
        <w:spacing w:after="0" w:line="240" w:lineRule="auto"/>
        <w:ind w:right="1134"/>
        <w:jc w:val="both"/>
        <w:rPr>
          <w:rFonts w:eastAsia="Times New Roman" w:cs="Arial"/>
        </w:rPr>
      </w:pPr>
    </w:p>
    <w:p w:rsidR="00A96D70" w:rsidRPr="0036325E" w:rsidRDefault="00915B72" w:rsidP="00225353">
      <w:pPr>
        <w:spacing w:after="0" w:line="240" w:lineRule="auto"/>
        <w:ind w:right="-1"/>
        <w:jc w:val="both"/>
        <w:rPr>
          <w:rFonts w:eastAsia="Times New Roman" w:cs="Times New Roman"/>
        </w:rPr>
      </w:pPr>
      <w:r w:rsidRPr="0036325E">
        <w:rPr>
          <w:rFonts w:eastAsia="Times New Roman" w:cs="Arial"/>
        </w:rPr>
        <w:t>Wyświetlone zostanie nowe okno</w:t>
      </w:r>
      <w:r w:rsidR="00A96D70" w:rsidRPr="0036325E">
        <w:rPr>
          <w:rFonts w:eastAsia="Times New Roman" w:cs="Arial"/>
        </w:rPr>
        <w:t xml:space="preserve"> z </w:t>
      </w:r>
      <w:r w:rsidR="00225353">
        <w:rPr>
          <w:rFonts w:eastAsia="Times New Roman" w:cs="Arial"/>
        </w:rPr>
        <w:t xml:space="preserve">narzędziami tabeli przestawnej. </w:t>
      </w:r>
      <w:r w:rsidR="00A96D70" w:rsidRPr="0036325E">
        <w:rPr>
          <w:rFonts w:eastAsia="Times New Roman" w:cs="Times New Roman"/>
        </w:rPr>
        <w:t xml:space="preserve">Poniżej widok ekranu dla wersji Microsoft Office Excel 2007. </w:t>
      </w:r>
    </w:p>
    <w:p w:rsidR="00A96D70" w:rsidRPr="0036325E" w:rsidRDefault="00A96D70" w:rsidP="00B1570D">
      <w:pPr>
        <w:spacing w:after="0" w:line="240" w:lineRule="auto"/>
        <w:ind w:right="1134"/>
        <w:jc w:val="both"/>
        <w:rPr>
          <w:rFonts w:eastAsia="Times New Roman" w:cs="Arial"/>
        </w:rPr>
      </w:pPr>
    </w:p>
    <w:p w:rsidR="00915B72" w:rsidRPr="0036325E" w:rsidRDefault="004223E1" w:rsidP="00B1570D">
      <w:pPr>
        <w:spacing w:after="0" w:line="240" w:lineRule="auto"/>
        <w:ind w:right="1134"/>
        <w:jc w:val="both"/>
        <w:rPr>
          <w:rFonts w:eastAsia="Times New Roman" w:cs="Arial"/>
        </w:rPr>
      </w:pPr>
      <w:r>
        <w:rPr>
          <w:rFonts w:eastAsia="Times New Roman" w:cs="Arial"/>
          <w:noProof/>
        </w:rPr>
        <w:lastRenderedPageBreak/>
        <w:drawing>
          <wp:inline distT="0" distB="0" distL="0" distR="0">
            <wp:extent cx="6021705" cy="45142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70" w:rsidRPr="0036325E" w:rsidRDefault="00A96D70" w:rsidP="00B1570D">
      <w:pPr>
        <w:spacing w:after="0" w:line="240" w:lineRule="auto"/>
        <w:ind w:right="1134"/>
        <w:jc w:val="both"/>
        <w:rPr>
          <w:rFonts w:eastAsia="Times New Roman" w:cs="Arial"/>
        </w:rPr>
      </w:pPr>
    </w:p>
    <w:p w:rsidR="00A96D70" w:rsidRPr="0036325E" w:rsidRDefault="00A96D70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>Na górze okna [Lista pól tabeli przestawnej] widać pola odpowiadające kolumnom danych ź</w:t>
      </w:r>
      <w:r w:rsidR="00225353">
        <w:rPr>
          <w:rFonts w:asciiTheme="minorHAnsi" w:hAnsiTheme="minorHAnsi" w:cs="Arial"/>
          <w:color w:val="000000"/>
          <w:sz w:val="22"/>
          <w:szCs w:val="22"/>
        </w:rPr>
        <w:t>ródłowych o takiej samej nazwie.</w:t>
      </w:r>
    </w:p>
    <w:p w:rsidR="00225353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A96D70" w:rsidRPr="0036325E" w:rsidRDefault="00A96D70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 xml:space="preserve">Na dole znajdują się cztery obszary, do których można przeciągać pola i tym samym modyfikować tabelę przestawną. </w:t>
      </w:r>
    </w:p>
    <w:p w:rsidR="00225353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9A11EF" w:rsidRDefault="00D85A6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>Jeżeli</w:t>
      </w:r>
      <w:r w:rsidR="009A11EF">
        <w:rPr>
          <w:rFonts w:asciiTheme="minorHAnsi" w:hAnsiTheme="minorHAnsi" w:cs="Arial"/>
          <w:color w:val="000000"/>
          <w:sz w:val="22"/>
          <w:szCs w:val="22"/>
        </w:rPr>
        <w:t>:</w:t>
      </w:r>
    </w:p>
    <w:p w:rsidR="009A11EF" w:rsidRDefault="00D85A6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>do pola [E</w:t>
      </w:r>
      <w:r w:rsidR="00A96D70" w:rsidRPr="0036325E">
        <w:rPr>
          <w:rFonts w:asciiTheme="minorHAnsi" w:hAnsiTheme="minorHAnsi" w:cs="Arial"/>
          <w:color w:val="000000"/>
          <w:sz w:val="22"/>
          <w:szCs w:val="22"/>
        </w:rPr>
        <w:t>tykiet</w:t>
      </w:r>
      <w:r w:rsidRPr="0036325E">
        <w:rPr>
          <w:rFonts w:asciiTheme="minorHAnsi" w:hAnsiTheme="minorHAnsi" w:cs="Arial"/>
          <w:color w:val="000000"/>
          <w:sz w:val="22"/>
          <w:szCs w:val="22"/>
        </w:rPr>
        <w:t>y</w:t>
      </w:r>
      <w:r w:rsidR="00A96D70" w:rsidRPr="0036325E">
        <w:rPr>
          <w:rFonts w:asciiTheme="minorHAnsi" w:hAnsiTheme="minorHAnsi" w:cs="Arial"/>
          <w:color w:val="000000"/>
          <w:sz w:val="22"/>
          <w:szCs w:val="22"/>
        </w:rPr>
        <w:t xml:space="preserve"> wierszy</w:t>
      </w:r>
      <w:r w:rsidR="00225353">
        <w:rPr>
          <w:rFonts w:asciiTheme="minorHAnsi" w:hAnsiTheme="minorHAnsi" w:cs="Arial"/>
          <w:color w:val="000000"/>
          <w:sz w:val="22"/>
          <w:szCs w:val="22"/>
        </w:rPr>
        <w:t>] przeciągniemy</w:t>
      </w:r>
      <w:r w:rsidRPr="0036325E">
        <w:rPr>
          <w:rFonts w:asciiTheme="minorHAnsi" w:hAnsiTheme="minorHAnsi" w:cs="Arial"/>
          <w:color w:val="000000"/>
          <w:sz w:val="22"/>
          <w:szCs w:val="22"/>
        </w:rPr>
        <w:t xml:space="preserve"> [B. informacje sektorowe] </w:t>
      </w:r>
    </w:p>
    <w:p w:rsidR="009A11EF" w:rsidRDefault="00A96D70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 xml:space="preserve">do </w:t>
      </w:r>
      <w:r w:rsidR="009A11EF">
        <w:rPr>
          <w:rFonts w:asciiTheme="minorHAnsi" w:hAnsiTheme="minorHAnsi" w:cs="Arial"/>
          <w:color w:val="000000"/>
          <w:sz w:val="22"/>
          <w:szCs w:val="22"/>
        </w:rPr>
        <w:t xml:space="preserve">pola </w:t>
      </w:r>
      <w:r w:rsidR="00225353">
        <w:rPr>
          <w:rFonts w:asciiTheme="minorHAnsi" w:hAnsiTheme="minorHAnsi" w:cs="Arial"/>
          <w:color w:val="000000"/>
          <w:sz w:val="22"/>
          <w:szCs w:val="22"/>
        </w:rPr>
        <w:t xml:space="preserve">[Etykiety kolumn] </w:t>
      </w:r>
      <w:r w:rsidR="009A11EF">
        <w:rPr>
          <w:rFonts w:asciiTheme="minorHAnsi" w:hAnsiTheme="minorHAnsi" w:cs="Arial"/>
          <w:color w:val="000000"/>
          <w:sz w:val="22"/>
          <w:szCs w:val="22"/>
        </w:rPr>
        <w:t>przeciągniemy</w:t>
      </w:r>
      <w:r w:rsidR="009A11EF" w:rsidRPr="0036325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A11EF">
        <w:rPr>
          <w:rFonts w:asciiTheme="minorHAnsi" w:hAnsiTheme="minorHAnsi" w:cs="Arial"/>
          <w:color w:val="000000"/>
          <w:sz w:val="22"/>
          <w:szCs w:val="22"/>
        </w:rPr>
        <w:t xml:space="preserve">[C: główny problem] a potem </w:t>
      </w:r>
      <w:r w:rsidR="009A11EF" w:rsidRPr="0036325E">
        <w:rPr>
          <w:rFonts w:asciiTheme="minorHAnsi" w:hAnsiTheme="minorHAnsi" w:cs="Arial"/>
          <w:color w:val="000000"/>
          <w:sz w:val="22"/>
          <w:szCs w:val="22"/>
        </w:rPr>
        <w:t xml:space="preserve">[A. </w:t>
      </w:r>
      <w:r w:rsidR="004223E1">
        <w:rPr>
          <w:rFonts w:asciiTheme="minorHAnsi" w:hAnsiTheme="minorHAnsi" w:cs="Arial"/>
          <w:color w:val="000000"/>
          <w:sz w:val="22"/>
          <w:szCs w:val="22"/>
        </w:rPr>
        <w:t>S</w:t>
      </w:r>
      <w:r w:rsidR="009A11EF">
        <w:rPr>
          <w:rFonts w:asciiTheme="minorHAnsi" w:hAnsiTheme="minorHAnsi" w:cs="Arial"/>
          <w:color w:val="000000"/>
          <w:sz w:val="22"/>
          <w:szCs w:val="22"/>
        </w:rPr>
        <w:t>posób zawarcia umowy]</w:t>
      </w:r>
    </w:p>
    <w:p w:rsidR="009A11EF" w:rsidRDefault="009A11EF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do pola </w:t>
      </w:r>
      <w:r w:rsidR="00225353">
        <w:rPr>
          <w:rFonts w:asciiTheme="minorHAnsi" w:hAnsiTheme="minorHAnsi" w:cs="Arial"/>
          <w:color w:val="000000"/>
          <w:sz w:val="22"/>
          <w:szCs w:val="22"/>
        </w:rPr>
        <w:t xml:space="preserve">[Wartości] przeciągniemy </w:t>
      </w:r>
      <w:r w:rsidR="00D85A63" w:rsidRPr="0036325E">
        <w:rPr>
          <w:rFonts w:asciiTheme="minorHAnsi" w:hAnsiTheme="minorHAnsi" w:cs="Arial"/>
          <w:color w:val="000000"/>
          <w:sz w:val="22"/>
          <w:szCs w:val="22"/>
        </w:rPr>
        <w:t xml:space="preserve">[A. </w:t>
      </w:r>
      <w:r w:rsidR="004223E1">
        <w:rPr>
          <w:rFonts w:asciiTheme="minorHAnsi" w:hAnsiTheme="minorHAnsi" w:cs="Arial"/>
          <w:color w:val="000000"/>
          <w:sz w:val="22"/>
          <w:szCs w:val="22"/>
        </w:rPr>
        <w:t>S</w:t>
      </w:r>
      <w:r>
        <w:rPr>
          <w:rFonts w:asciiTheme="minorHAnsi" w:hAnsiTheme="minorHAnsi" w:cs="Arial"/>
          <w:color w:val="000000"/>
          <w:sz w:val="22"/>
          <w:szCs w:val="22"/>
        </w:rPr>
        <w:t>posób</w:t>
      </w:r>
      <w:r w:rsidR="00225353">
        <w:rPr>
          <w:rFonts w:asciiTheme="minorHAnsi" w:hAnsiTheme="minorHAnsi" w:cs="Arial"/>
          <w:color w:val="000000"/>
          <w:sz w:val="22"/>
          <w:szCs w:val="22"/>
        </w:rPr>
        <w:t xml:space="preserve"> zawarcia umowy] </w:t>
      </w:r>
    </w:p>
    <w:p w:rsidR="004223E1" w:rsidRDefault="004223E1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9A11EF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otrzymamy</w:t>
      </w:r>
      <w:r w:rsidR="00D85A63" w:rsidRPr="0036325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D85A63" w:rsidRPr="009A11EF">
        <w:rPr>
          <w:rFonts w:asciiTheme="minorHAnsi" w:hAnsiTheme="minorHAnsi" w:cs="Arial"/>
          <w:b/>
          <w:color w:val="000000"/>
          <w:sz w:val="22"/>
          <w:szCs w:val="22"/>
        </w:rPr>
        <w:t>gotowe podsumowanie</w:t>
      </w:r>
      <w:r w:rsidRPr="009A11EF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D85A63" w:rsidRPr="009A11EF">
        <w:rPr>
          <w:rFonts w:asciiTheme="minorHAnsi" w:hAnsiTheme="minorHAnsi" w:cs="Arial"/>
          <w:b/>
          <w:color w:val="000000"/>
          <w:sz w:val="22"/>
          <w:szCs w:val="22"/>
        </w:rPr>
        <w:t xml:space="preserve">ilości </w:t>
      </w:r>
      <w:r w:rsidRPr="009A11EF">
        <w:rPr>
          <w:rFonts w:asciiTheme="minorHAnsi" w:hAnsiTheme="minorHAnsi" w:cs="Arial"/>
          <w:b/>
          <w:color w:val="000000"/>
          <w:sz w:val="22"/>
          <w:szCs w:val="22"/>
        </w:rPr>
        <w:t xml:space="preserve">prowadzonych </w:t>
      </w:r>
      <w:r w:rsidR="00D85A63" w:rsidRPr="009A11EF">
        <w:rPr>
          <w:rFonts w:asciiTheme="minorHAnsi" w:hAnsiTheme="minorHAnsi" w:cs="Arial"/>
          <w:b/>
          <w:color w:val="000000"/>
          <w:sz w:val="22"/>
          <w:szCs w:val="22"/>
        </w:rPr>
        <w:t>spraw</w:t>
      </w:r>
      <w:r w:rsidR="00D85A63" w:rsidRPr="0036325E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D85A63" w:rsidRDefault="00D85A6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6325E">
        <w:rPr>
          <w:rFonts w:asciiTheme="minorHAnsi" w:hAnsiTheme="minorHAnsi" w:cs="Arial"/>
          <w:color w:val="000000"/>
          <w:sz w:val="22"/>
          <w:szCs w:val="22"/>
        </w:rPr>
        <w:t>z uwzględnieniem informacji sektorowych i podziałem na metodę zawarci</w:t>
      </w:r>
      <w:r w:rsidR="00736C6C" w:rsidRPr="0036325E">
        <w:rPr>
          <w:rFonts w:asciiTheme="minorHAnsi" w:hAnsiTheme="minorHAnsi" w:cs="Arial"/>
          <w:color w:val="000000"/>
          <w:sz w:val="22"/>
          <w:szCs w:val="22"/>
        </w:rPr>
        <w:t>a</w:t>
      </w:r>
      <w:r w:rsidRPr="0036325E">
        <w:rPr>
          <w:rFonts w:asciiTheme="minorHAnsi" w:hAnsiTheme="minorHAnsi" w:cs="Arial"/>
          <w:color w:val="000000"/>
          <w:sz w:val="22"/>
          <w:szCs w:val="22"/>
        </w:rPr>
        <w:t xml:space="preserve"> umowy. </w:t>
      </w:r>
    </w:p>
    <w:p w:rsidR="00225353" w:rsidRPr="0036325E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5D6620" w:rsidRPr="0036325E" w:rsidRDefault="005D6620" w:rsidP="00B1570D">
      <w:pPr>
        <w:spacing w:after="0" w:line="240" w:lineRule="auto"/>
        <w:ind w:right="1134"/>
        <w:jc w:val="both"/>
        <w:rPr>
          <w:rFonts w:eastAsia="Times New Roman" w:cs="Times New Roman"/>
        </w:rPr>
      </w:pPr>
      <w:r w:rsidRPr="0036325E">
        <w:rPr>
          <w:rFonts w:eastAsia="Times New Roman" w:cs="Times New Roman"/>
        </w:rPr>
        <w:t xml:space="preserve">Poniżej widok ekranu dla wersji Microsoft Office Excel 2007. </w:t>
      </w:r>
    </w:p>
    <w:p w:rsidR="005D6620" w:rsidRPr="0036325E" w:rsidRDefault="004223E1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283962" cy="355050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52" cy="35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63" w:rsidRPr="0036325E" w:rsidRDefault="00D85A6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4223E1" w:rsidRDefault="004223E1" w:rsidP="00225353">
      <w:p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Teraz należy poprawić wygląd tabeli, aby była bardziej przejrzysta. </w:t>
      </w:r>
    </w:p>
    <w:p w:rsidR="005D6620" w:rsidRDefault="004223E1" w:rsidP="00225353">
      <w:p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Proponuję:</w:t>
      </w:r>
    </w:p>
    <w:p w:rsidR="00D92DAC" w:rsidRDefault="00D92DAC" w:rsidP="00D92DAC">
      <w:pPr>
        <w:pStyle w:val="Akapitzlist"/>
        <w:numPr>
          <w:ilvl w:val="0"/>
          <w:numId w:val="12"/>
        </w:num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Zmniejsz szerokość kolumny</w:t>
      </w:r>
      <w:r w:rsidR="004223E1" w:rsidRPr="00D92DAC">
        <w:rPr>
          <w:rFonts w:eastAsia="Times New Roman" w:cs="Times New Roman"/>
        </w:rPr>
        <w:t xml:space="preserve"> A </w:t>
      </w:r>
      <w:r>
        <w:rPr>
          <w:rFonts w:eastAsia="Times New Roman" w:cs="Times New Roman"/>
        </w:rPr>
        <w:t xml:space="preserve">do 40 </w:t>
      </w:r>
    </w:p>
    <w:p w:rsidR="004223E1" w:rsidRPr="00D92DAC" w:rsidRDefault="004223E1" w:rsidP="00D92DAC">
      <w:pPr>
        <w:tabs>
          <w:tab w:val="left" w:pos="9497"/>
        </w:tabs>
        <w:spacing w:after="0" w:line="240" w:lineRule="auto"/>
        <w:ind w:left="720" w:right="-1"/>
        <w:jc w:val="both"/>
        <w:rPr>
          <w:rFonts w:eastAsia="Times New Roman" w:cs="Times New Roman"/>
        </w:rPr>
      </w:pPr>
      <w:r w:rsidRPr="00D92DAC">
        <w:rPr>
          <w:rFonts w:eastAsia="Times New Roman" w:cs="Times New Roman"/>
        </w:rPr>
        <w:t xml:space="preserve">(najedź kursorem na </w:t>
      </w:r>
      <w:r w:rsidR="00D92DAC" w:rsidRPr="00D92DAC">
        <w:rPr>
          <w:rFonts w:eastAsia="Times New Roman" w:cs="Times New Roman"/>
        </w:rPr>
        <w:t xml:space="preserve">górny wiersz kolumny A, kliknij prawy klawisz myszki, wybierz [szerokość kolumny], wpisz </w:t>
      </w:r>
      <w:r w:rsidR="00D92DAC">
        <w:rPr>
          <w:rFonts w:eastAsia="Times New Roman" w:cs="Times New Roman"/>
        </w:rPr>
        <w:t>4</w:t>
      </w:r>
      <w:r w:rsidR="00D92DAC" w:rsidRPr="00D92DAC">
        <w:rPr>
          <w:rFonts w:eastAsia="Times New Roman" w:cs="Times New Roman"/>
        </w:rPr>
        <w:t>0, zatwierdź OK)</w:t>
      </w:r>
    </w:p>
    <w:p w:rsidR="00D92DAC" w:rsidRDefault="00D92DAC" w:rsidP="00D92DAC">
      <w:pPr>
        <w:pStyle w:val="Akapitzlist"/>
        <w:numPr>
          <w:ilvl w:val="0"/>
          <w:numId w:val="12"/>
        </w:num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Kliknij przycisk [Zawijaj tekst]</w:t>
      </w:r>
    </w:p>
    <w:p w:rsidR="00D92DAC" w:rsidRDefault="00D92DAC" w:rsidP="00D92DAC">
      <w:pPr>
        <w:tabs>
          <w:tab w:val="left" w:pos="9497"/>
        </w:tabs>
        <w:spacing w:after="0" w:line="240" w:lineRule="auto"/>
        <w:ind w:left="720"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Zaznacz kolumny od B do Q i zmniejsz ich szerokość do 5 </w:t>
      </w:r>
    </w:p>
    <w:p w:rsidR="00D92DAC" w:rsidRPr="00D92DAC" w:rsidRDefault="00D92DAC" w:rsidP="00D92DAC">
      <w:pPr>
        <w:tabs>
          <w:tab w:val="left" w:pos="9497"/>
        </w:tabs>
        <w:spacing w:after="0" w:line="240" w:lineRule="auto"/>
        <w:ind w:left="720" w:right="-1"/>
        <w:jc w:val="both"/>
        <w:rPr>
          <w:rFonts w:eastAsia="Times New Roman" w:cs="Times New Roman"/>
        </w:rPr>
      </w:pPr>
      <w:r w:rsidRPr="00D92DAC">
        <w:rPr>
          <w:rFonts w:eastAsia="Times New Roman" w:cs="Times New Roman"/>
        </w:rPr>
        <w:t xml:space="preserve">(kliknij prawy klawisz myszki, wybierz [szerokość kolumny], wpisz </w:t>
      </w:r>
      <w:r>
        <w:rPr>
          <w:rFonts w:eastAsia="Times New Roman" w:cs="Times New Roman"/>
        </w:rPr>
        <w:t>5</w:t>
      </w:r>
      <w:r w:rsidRPr="00D92DAC">
        <w:rPr>
          <w:rFonts w:eastAsia="Times New Roman" w:cs="Times New Roman"/>
        </w:rPr>
        <w:t>, zatwierdź OK)</w:t>
      </w:r>
    </w:p>
    <w:p w:rsidR="00D92DAC" w:rsidRDefault="00D92DAC" w:rsidP="00D92DAC">
      <w:p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</w:p>
    <w:p w:rsidR="00D92DAC" w:rsidRDefault="00D92DAC" w:rsidP="00D92DAC">
      <w:p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Twoja tabela powinna wyglądać tak:</w:t>
      </w:r>
    </w:p>
    <w:p w:rsidR="00D92DAC" w:rsidRPr="00D92DAC" w:rsidRDefault="00D92DAC" w:rsidP="00D92DAC">
      <w:pPr>
        <w:tabs>
          <w:tab w:val="left" w:pos="9497"/>
        </w:tabs>
        <w:spacing w:after="0" w:line="240" w:lineRule="auto"/>
        <w:ind w:right="-1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5609967" cy="426891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09" cy="42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63" w:rsidRPr="0036325E" w:rsidRDefault="00D85A6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5D6620" w:rsidRPr="0036325E" w:rsidRDefault="005D6620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D36113" w:rsidRDefault="00D92DAC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Szare kolumny podsumowują ilości wskazane we kolumnach określających sposób zawarcia umowy.</w:t>
      </w:r>
    </w:p>
    <w:p w:rsidR="00D92DAC" w:rsidRDefault="00D92DAC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D92DAC" w:rsidRDefault="00D92DAC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W takim widoku nieczytelne jest oznakowanie kolumn. </w:t>
      </w:r>
    </w:p>
    <w:p w:rsidR="00D92DAC" w:rsidRDefault="00D92DAC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Proponuję skopiować całą tabelę i wstawić ją do nowego pliku programu Excel:</w:t>
      </w:r>
    </w:p>
    <w:p w:rsidR="00D92DAC" w:rsidRDefault="00D92DAC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D92DAC" w:rsidRDefault="00D92DAC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Dla poprawy wyglądu można:</w:t>
      </w:r>
    </w:p>
    <w:p w:rsidR="00D92DAC" w:rsidRDefault="00C91D2B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Zwiększyć szerokość wiersza 1</w:t>
      </w:r>
    </w:p>
    <w:p w:rsidR="00C91D2B" w:rsidRDefault="00C91D2B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komórkę E1 i usunąć zawartość </w:t>
      </w:r>
    </w:p>
    <w:p w:rsidR="00C91D2B" w:rsidRDefault="00C91D2B" w:rsidP="00D92DAC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komórki B1, C1, D1, E1 - kliknąć [scal i wyśrodkuj] – kliknąć [zawijaj tekst]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komórkę I1 i usunąć zawartość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komórki F1, G1, H1, I1 - kliknąć [scal i wyśrodkuj] – kliknąć [zawijaj tekst]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komórkę M1 i usunąć zawartość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komórki J1, K1, L1, M1 - kliknąć [scal i wyśrodkuj] – kliknąć [zawijaj tekst]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komórkę Q1 i usunąć zawartość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komórki N1, O1, P1, Q1 - kliknąć [scal i wyśrodkuj] – kliknąć [zawijaj tekst] </w:t>
      </w:r>
    </w:p>
    <w:p w:rsidR="00225353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Zwiększyć szerokość wiersza 2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Zaznaczyć komórki od B2 do Q2 – kliknąć [zawijaj tekst] – obróć tekst w górę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Zaznacz całą tabelę – wstaw obramowanie wszystkich krawędzi 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Tabela będzie wyglądać tak:</w:t>
      </w:r>
    </w:p>
    <w:p w:rsidR="00C91D2B" w:rsidRDefault="00C91D2B" w:rsidP="00C91D2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684108" cy="435645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35" cy="43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 xml:space="preserve">Taka tabele może być w zasadzie wydrukowana – do wydruku najlepiej ustawić orientację poziomą i zmniejszyć (nawet do 0) marginesy. </w:t>
      </w: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Podgląd wydruku wygląda tak: </w:t>
      </w: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6021705" cy="33115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C91D2B" w:rsidRDefault="00C91D2B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B87869" w:rsidRPr="0036325E" w:rsidRDefault="00B87869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36325E">
        <w:rPr>
          <w:rFonts w:asciiTheme="minorHAnsi" w:hAnsiTheme="minorHAnsi" w:cs="Arial"/>
          <w:sz w:val="22"/>
          <w:szCs w:val="22"/>
        </w:rPr>
        <w:t>Dla przyswojenia zasad działania tabeli przestawnej pożyteczne mo</w:t>
      </w:r>
      <w:r w:rsidR="00225353">
        <w:rPr>
          <w:rFonts w:asciiTheme="minorHAnsi" w:hAnsiTheme="minorHAnsi" w:cs="Arial"/>
          <w:sz w:val="22"/>
          <w:szCs w:val="22"/>
        </w:rPr>
        <w:t xml:space="preserve">gą </w:t>
      </w:r>
      <w:r w:rsidRPr="0036325E">
        <w:rPr>
          <w:rFonts w:asciiTheme="minorHAnsi" w:hAnsiTheme="minorHAnsi" w:cs="Arial"/>
          <w:sz w:val="22"/>
          <w:szCs w:val="22"/>
        </w:rPr>
        <w:t xml:space="preserve">być </w:t>
      </w:r>
      <w:r w:rsidR="00225353">
        <w:rPr>
          <w:rFonts w:asciiTheme="minorHAnsi" w:hAnsiTheme="minorHAnsi" w:cs="Arial"/>
          <w:sz w:val="22"/>
          <w:szCs w:val="22"/>
        </w:rPr>
        <w:t>filmy instruktażowe zamieszczone</w:t>
      </w:r>
      <w:r w:rsidRPr="0036325E">
        <w:rPr>
          <w:rFonts w:asciiTheme="minorHAnsi" w:hAnsiTheme="minorHAnsi" w:cs="Arial"/>
          <w:sz w:val="22"/>
          <w:szCs w:val="22"/>
        </w:rPr>
        <w:t xml:space="preserve"> na</w:t>
      </w:r>
      <w:r w:rsidR="00915B72" w:rsidRPr="0036325E">
        <w:rPr>
          <w:rFonts w:asciiTheme="minorHAnsi" w:hAnsiTheme="minorHAnsi" w:cs="Arial"/>
          <w:sz w:val="22"/>
          <w:szCs w:val="22"/>
        </w:rPr>
        <w:t xml:space="preserve"> serwisie </w:t>
      </w:r>
      <w:r w:rsidR="00225353">
        <w:rPr>
          <w:rFonts w:asciiTheme="minorHAnsi" w:hAnsiTheme="minorHAnsi" w:cs="Arial"/>
          <w:sz w:val="22"/>
          <w:szCs w:val="22"/>
        </w:rPr>
        <w:t xml:space="preserve">YouTube, </w:t>
      </w:r>
      <w:r w:rsidRPr="0036325E">
        <w:rPr>
          <w:rFonts w:asciiTheme="minorHAnsi" w:hAnsiTheme="minorHAnsi" w:cs="Arial"/>
          <w:sz w:val="22"/>
          <w:szCs w:val="22"/>
        </w:rPr>
        <w:t xml:space="preserve">np. </w:t>
      </w:r>
      <w:hyperlink r:id="rId28" w:history="1">
        <w:r w:rsidR="00915B72" w:rsidRPr="0036325E">
          <w:rPr>
            <w:rStyle w:val="Hipercze"/>
            <w:rFonts w:asciiTheme="minorHAnsi" w:hAnsiTheme="minorHAnsi" w:cs="Arial"/>
            <w:sz w:val="22"/>
            <w:szCs w:val="22"/>
          </w:rPr>
          <w:t>https://www.youtube.com/watch?v=UNQDLrzLvyg</w:t>
        </w:r>
      </w:hyperlink>
      <w:r w:rsidR="00915B72" w:rsidRPr="0036325E">
        <w:rPr>
          <w:rFonts w:asciiTheme="minorHAnsi" w:hAnsiTheme="minorHAnsi" w:cs="Arial"/>
          <w:sz w:val="22"/>
          <w:szCs w:val="22"/>
        </w:rPr>
        <w:t xml:space="preserve"> </w:t>
      </w:r>
    </w:p>
    <w:p w:rsidR="00B87869" w:rsidRDefault="00B87869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225353" w:rsidRDefault="00225353" w:rsidP="00B1570D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</w:p>
    <w:p w:rsidR="00B92696" w:rsidRDefault="00B1570D" w:rsidP="00B1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D36113">
        <w:rPr>
          <w:rFonts w:cs="Arial"/>
          <w:b/>
        </w:rPr>
        <w:t xml:space="preserve">TABELE DO SPRAWOZDANIA RK </w:t>
      </w:r>
      <w:r>
        <w:rPr>
          <w:rFonts w:cs="Arial"/>
          <w:b/>
        </w:rPr>
        <w:t>–</w:t>
      </w:r>
      <w:r w:rsidRPr="00D36113">
        <w:rPr>
          <w:rFonts w:cs="Arial"/>
          <w:b/>
        </w:rPr>
        <w:t xml:space="preserve"> </w:t>
      </w:r>
      <w:r>
        <w:rPr>
          <w:rFonts w:cs="Arial"/>
          <w:b/>
        </w:rPr>
        <w:t xml:space="preserve">PREZENTOWANIE </w:t>
      </w:r>
      <w:r w:rsidRPr="00D36113">
        <w:rPr>
          <w:rFonts w:cs="Arial"/>
          <w:b/>
        </w:rPr>
        <w:t xml:space="preserve">DANYCH </w:t>
      </w:r>
    </w:p>
    <w:p w:rsidR="007C105F" w:rsidRDefault="007C105F" w:rsidP="00B1570D">
      <w:pPr>
        <w:jc w:val="both"/>
        <w:rPr>
          <w:rFonts w:cs="Arial"/>
        </w:rPr>
      </w:pPr>
      <w:r>
        <w:rPr>
          <w:rFonts w:cs="Arial"/>
        </w:rPr>
        <w:t xml:space="preserve">Przesłane tabele do prezentowania danych nie są obowiązkowe. </w:t>
      </w:r>
      <w:r w:rsidRPr="007C105F">
        <w:rPr>
          <w:rFonts w:cs="Arial"/>
          <w:b/>
        </w:rPr>
        <w:t>Są to tabele poglądowe</w:t>
      </w:r>
      <w:r>
        <w:rPr>
          <w:rFonts w:cs="Arial"/>
        </w:rPr>
        <w:t xml:space="preserve">, które wskazują na przykładowy sposób zaprezentowania danych. </w:t>
      </w:r>
    </w:p>
    <w:p w:rsidR="007C105F" w:rsidRPr="007C105F" w:rsidRDefault="007C105F" w:rsidP="00B1570D">
      <w:pPr>
        <w:jc w:val="both"/>
        <w:rPr>
          <w:rFonts w:cs="Arial"/>
          <w:b/>
        </w:rPr>
      </w:pPr>
      <w:r>
        <w:rPr>
          <w:rFonts w:cs="Arial"/>
        </w:rPr>
        <w:t xml:space="preserve">Można je wykorzystać wklejając dane z własnej tabeli (jeśli chcesz aby zachowały się szerokości kolumn, kolory – użyj opcji </w:t>
      </w:r>
      <w:r w:rsidRPr="007C105F">
        <w:rPr>
          <w:rFonts w:cs="Arial"/>
          <w:b/>
        </w:rPr>
        <w:t xml:space="preserve">[wklej specjalnie] – [wartości] </w:t>
      </w:r>
    </w:p>
    <w:p w:rsidR="00D36113" w:rsidRPr="00B1570D" w:rsidRDefault="00D36113" w:rsidP="00B1570D">
      <w:pPr>
        <w:jc w:val="both"/>
        <w:rPr>
          <w:rFonts w:cs="Arial"/>
          <w:b/>
        </w:rPr>
      </w:pPr>
      <w:r w:rsidRPr="00B1570D">
        <w:rPr>
          <w:rFonts w:cs="Arial"/>
          <w:b/>
        </w:rPr>
        <w:t>Wydruk tabel:</w:t>
      </w:r>
    </w:p>
    <w:p w:rsidR="00B1570D" w:rsidRDefault="00B1570D" w:rsidP="00B1570D">
      <w:pPr>
        <w:jc w:val="both"/>
        <w:rPr>
          <w:rFonts w:cs="Arial"/>
        </w:rPr>
      </w:pPr>
      <w:r>
        <w:rPr>
          <w:rFonts w:cs="Arial"/>
        </w:rPr>
        <w:t xml:space="preserve">Tabela 2 i 3 opracowana została </w:t>
      </w:r>
      <w:r w:rsidR="007C105F">
        <w:rPr>
          <w:rFonts w:cs="Arial"/>
        </w:rPr>
        <w:t xml:space="preserve">(sformatowana) </w:t>
      </w:r>
      <w:r>
        <w:rPr>
          <w:rFonts w:cs="Arial"/>
        </w:rPr>
        <w:t>w taki sposób, żeby możliwy był jej wydruk na jednej stronie formatu A4 (jeśli tabela się nie mieści możliwe jest jej dopasowanie poprzez zmianę wielkości marginesów w podglądzie wydruku)</w:t>
      </w:r>
    </w:p>
    <w:p w:rsidR="00B1570D" w:rsidRDefault="00B1570D" w:rsidP="00B1570D">
      <w:pPr>
        <w:jc w:val="both"/>
        <w:rPr>
          <w:rFonts w:cs="Arial"/>
        </w:rPr>
      </w:pPr>
      <w:r>
        <w:rPr>
          <w:rFonts w:cs="Arial"/>
        </w:rPr>
        <w:t xml:space="preserve">Tabele 1 i 4 są podwójne, a więc wydruk ich zajmuje 2 kartki. Na potrzeby wydruku tabeli na pojedynczych kartkach możliwe jest ukrycie najpierw jednej a potem drugiej połowy tabeli. </w:t>
      </w:r>
    </w:p>
    <w:p w:rsidR="00225353" w:rsidRDefault="00225353" w:rsidP="00B1570D">
      <w:pPr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4027851" cy="63266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89" cy="63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0D" w:rsidRPr="00BF7B39" w:rsidRDefault="00B1570D" w:rsidP="00B1570D">
      <w:pPr>
        <w:jc w:val="both"/>
        <w:rPr>
          <w:rFonts w:cs="Arial"/>
        </w:rPr>
      </w:pPr>
      <w:r w:rsidRPr="00B1570D">
        <w:rPr>
          <w:rFonts w:cs="Arial"/>
          <w:b/>
        </w:rPr>
        <w:t xml:space="preserve">Uwaga: </w:t>
      </w:r>
      <w:r w:rsidRPr="00BF7B39">
        <w:rPr>
          <w:rFonts w:cs="Arial"/>
        </w:rPr>
        <w:t xml:space="preserve">zasadne jest przekazanie danych Delegaturom UOKiK </w:t>
      </w:r>
      <w:r w:rsidRPr="00BF7B39">
        <w:rPr>
          <w:rFonts w:cs="Arial"/>
          <w:u w:val="single"/>
        </w:rPr>
        <w:t>w formie elektronicznej</w:t>
      </w:r>
      <w:r w:rsidRPr="00BF7B39">
        <w:rPr>
          <w:rFonts w:cs="Arial"/>
        </w:rPr>
        <w:t xml:space="preserve">. </w:t>
      </w:r>
    </w:p>
    <w:p w:rsidR="00EF34B8" w:rsidRPr="0036325E" w:rsidRDefault="00EF34B8" w:rsidP="00B1570D">
      <w:pPr>
        <w:ind w:left="360"/>
        <w:jc w:val="both"/>
        <w:rPr>
          <w:rFonts w:cs="Arial"/>
        </w:rPr>
      </w:pPr>
    </w:p>
    <w:sectPr w:rsidR="00EF34B8" w:rsidRPr="0036325E" w:rsidSect="00C64339">
      <w:pgSz w:w="11906" w:h="16838"/>
      <w:pgMar w:top="709" w:right="141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FFD" w:rsidRDefault="00076FFD" w:rsidP="00EC6AB3">
      <w:pPr>
        <w:spacing w:after="0" w:line="240" w:lineRule="auto"/>
      </w:pPr>
      <w:r>
        <w:separator/>
      </w:r>
    </w:p>
  </w:endnote>
  <w:endnote w:type="continuationSeparator" w:id="0">
    <w:p w:rsidR="00076FFD" w:rsidRDefault="00076FFD" w:rsidP="00EC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FFD" w:rsidRDefault="00076FFD" w:rsidP="00EC6AB3">
      <w:pPr>
        <w:spacing w:after="0" w:line="240" w:lineRule="auto"/>
      </w:pPr>
      <w:r>
        <w:separator/>
      </w:r>
    </w:p>
  </w:footnote>
  <w:footnote w:type="continuationSeparator" w:id="0">
    <w:p w:rsidR="00076FFD" w:rsidRDefault="00076FFD" w:rsidP="00EC6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09ED"/>
    <w:multiLevelType w:val="hybridMultilevel"/>
    <w:tmpl w:val="F466AC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60785F"/>
    <w:multiLevelType w:val="hybridMultilevel"/>
    <w:tmpl w:val="53E4D2A2"/>
    <w:lvl w:ilvl="0" w:tplc="7B8C4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15D79"/>
    <w:multiLevelType w:val="hybridMultilevel"/>
    <w:tmpl w:val="809675F4"/>
    <w:lvl w:ilvl="0" w:tplc="92A65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25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0A9D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885E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D4F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0BD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4034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C59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9235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61DFB"/>
    <w:multiLevelType w:val="hybridMultilevel"/>
    <w:tmpl w:val="8B363B12"/>
    <w:lvl w:ilvl="0" w:tplc="7B8C453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B970B8E"/>
    <w:multiLevelType w:val="hybridMultilevel"/>
    <w:tmpl w:val="C0B8E2E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DF13D48"/>
    <w:multiLevelType w:val="hybridMultilevel"/>
    <w:tmpl w:val="1C100F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E55D03"/>
    <w:multiLevelType w:val="hybridMultilevel"/>
    <w:tmpl w:val="20D6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D19E5"/>
    <w:multiLevelType w:val="hybridMultilevel"/>
    <w:tmpl w:val="3E7A463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F9F6516"/>
    <w:multiLevelType w:val="hybridMultilevel"/>
    <w:tmpl w:val="88D24A9E"/>
    <w:lvl w:ilvl="0" w:tplc="7B8C45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C22183"/>
    <w:multiLevelType w:val="hybridMultilevel"/>
    <w:tmpl w:val="1E4EE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F0A93"/>
    <w:multiLevelType w:val="hybridMultilevel"/>
    <w:tmpl w:val="AAAC31A4"/>
    <w:lvl w:ilvl="0" w:tplc="D3BC9022">
      <w:start w:val="1"/>
      <w:numFmt w:val="decimal"/>
      <w:lvlText w:val="%1."/>
      <w:lvlJc w:val="left"/>
      <w:pPr>
        <w:ind w:left="1076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ind w:left="1796" w:hanging="360"/>
      </w:pPr>
    </w:lvl>
    <w:lvl w:ilvl="2" w:tplc="0415001B" w:tentative="1">
      <w:start w:val="1"/>
      <w:numFmt w:val="lowerRoman"/>
      <w:lvlText w:val="%3."/>
      <w:lvlJc w:val="right"/>
      <w:pPr>
        <w:ind w:left="2516" w:hanging="180"/>
      </w:pPr>
    </w:lvl>
    <w:lvl w:ilvl="3" w:tplc="0415000F" w:tentative="1">
      <w:start w:val="1"/>
      <w:numFmt w:val="decimal"/>
      <w:lvlText w:val="%4."/>
      <w:lvlJc w:val="left"/>
      <w:pPr>
        <w:ind w:left="3236" w:hanging="360"/>
      </w:pPr>
    </w:lvl>
    <w:lvl w:ilvl="4" w:tplc="04150019" w:tentative="1">
      <w:start w:val="1"/>
      <w:numFmt w:val="lowerLetter"/>
      <w:lvlText w:val="%5."/>
      <w:lvlJc w:val="left"/>
      <w:pPr>
        <w:ind w:left="3956" w:hanging="360"/>
      </w:pPr>
    </w:lvl>
    <w:lvl w:ilvl="5" w:tplc="0415001B" w:tentative="1">
      <w:start w:val="1"/>
      <w:numFmt w:val="lowerRoman"/>
      <w:lvlText w:val="%6."/>
      <w:lvlJc w:val="right"/>
      <w:pPr>
        <w:ind w:left="4676" w:hanging="180"/>
      </w:pPr>
    </w:lvl>
    <w:lvl w:ilvl="6" w:tplc="0415000F" w:tentative="1">
      <w:start w:val="1"/>
      <w:numFmt w:val="decimal"/>
      <w:lvlText w:val="%7."/>
      <w:lvlJc w:val="left"/>
      <w:pPr>
        <w:ind w:left="5396" w:hanging="360"/>
      </w:pPr>
    </w:lvl>
    <w:lvl w:ilvl="7" w:tplc="04150019" w:tentative="1">
      <w:start w:val="1"/>
      <w:numFmt w:val="lowerLetter"/>
      <w:lvlText w:val="%8."/>
      <w:lvlJc w:val="left"/>
      <w:pPr>
        <w:ind w:left="6116" w:hanging="360"/>
      </w:pPr>
    </w:lvl>
    <w:lvl w:ilvl="8" w:tplc="041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11">
    <w:nsid w:val="53A40EBF"/>
    <w:multiLevelType w:val="hybridMultilevel"/>
    <w:tmpl w:val="C0BEBD2C"/>
    <w:lvl w:ilvl="0" w:tplc="D8AE15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E52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AEC7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1C0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10B6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45C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06C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8E5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74A8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2D3B73"/>
    <w:multiLevelType w:val="hybridMultilevel"/>
    <w:tmpl w:val="B8507FF4"/>
    <w:lvl w:ilvl="0" w:tplc="58B22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AA1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E9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EAC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AA2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6A3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D0CB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EC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7CB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EE1088"/>
    <w:multiLevelType w:val="hybridMultilevel"/>
    <w:tmpl w:val="E452B67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8E50FEB"/>
    <w:multiLevelType w:val="hybridMultilevel"/>
    <w:tmpl w:val="DB1AF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777F5"/>
    <w:multiLevelType w:val="hybridMultilevel"/>
    <w:tmpl w:val="687AA234"/>
    <w:lvl w:ilvl="0" w:tplc="F208DB4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880008"/>
    <w:multiLevelType w:val="hybridMultilevel"/>
    <w:tmpl w:val="C0F8656E"/>
    <w:lvl w:ilvl="0" w:tplc="7B8C4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480BDB"/>
    <w:multiLevelType w:val="hybridMultilevel"/>
    <w:tmpl w:val="FDA89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14"/>
  </w:num>
  <w:num w:numId="5">
    <w:abstractNumId w:val="13"/>
  </w:num>
  <w:num w:numId="6">
    <w:abstractNumId w:val="3"/>
  </w:num>
  <w:num w:numId="7">
    <w:abstractNumId w:val="15"/>
  </w:num>
  <w:num w:numId="8">
    <w:abstractNumId w:val="11"/>
  </w:num>
  <w:num w:numId="9">
    <w:abstractNumId w:val="1"/>
  </w:num>
  <w:num w:numId="10">
    <w:abstractNumId w:val="7"/>
  </w:num>
  <w:num w:numId="11">
    <w:abstractNumId w:val="16"/>
  </w:num>
  <w:num w:numId="12">
    <w:abstractNumId w:val="6"/>
  </w:num>
  <w:num w:numId="13">
    <w:abstractNumId w:val="8"/>
  </w:num>
  <w:num w:numId="14">
    <w:abstractNumId w:val="5"/>
  </w:num>
  <w:num w:numId="15">
    <w:abstractNumId w:val="4"/>
  </w:num>
  <w:num w:numId="16">
    <w:abstractNumId w:val="10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4B8"/>
    <w:rsid w:val="00025E81"/>
    <w:rsid w:val="000416D6"/>
    <w:rsid w:val="000475FA"/>
    <w:rsid w:val="00076FFD"/>
    <w:rsid w:val="000F3F6C"/>
    <w:rsid w:val="00120B3A"/>
    <w:rsid w:val="001D794E"/>
    <w:rsid w:val="00225353"/>
    <w:rsid w:val="0024313A"/>
    <w:rsid w:val="002812C5"/>
    <w:rsid w:val="002F225A"/>
    <w:rsid w:val="003078A4"/>
    <w:rsid w:val="00327415"/>
    <w:rsid w:val="0033506E"/>
    <w:rsid w:val="00353540"/>
    <w:rsid w:val="00354488"/>
    <w:rsid w:val="0036325E"/>
    <w:rsid w:val="003639EC"/>
    <w:rsid w:val="004223E1"/>
    <w:rsid w:val="004A4DAC"/>
    <w:rsid w:val="00544397"/>
    <w:rsid w:val="005D6620"/>
    <w:rsid w:val="005E0B03"/>
    <w:rsid w:val="005F514F"/>
    <w:rsid w:val="00736C6C"/>
    <w:rsid w:val="0074338B"/>
    <w:rsid w:val="007501E9"/>
    <w:rsid w:val="00750D30"/>
    <w:rsid w:val="007822D2"/>
    <w:rsid w:val="00790FFF"/>
    <w:rsid w:val="007C105F"/>
    <w:rsid w:val="007C6CC4"/>
    <w:rsid w:val="008C1C02"/>
    <w:rsid w:val="008E5987"/>
    <w:rsid w:val="00915B72"/>
    <w:rsid w:val="00947E80"/>
    <w:rsid w:val="009A11EF"/>
    <w:rsid w:val="009E2FAE"/>
    <w:rsid w:val="00A96D70"/>
    <w:rsid w:val="00AB1BEF"/>
    <w:rsid w:val="00AC1554"/>
    <w:rsid w:val="00B1570D"/>
    <w:rsid w:val="00B87869"/>
    <w:rsid w:val="00B92696"/>
    <w:rsid w:val="00BF7B39"/>
    <w:rsid w:val="00C64339"/>
    <w:rsid w:val="00C91D2B"/>
    <w:rsid w:val="00CF6483"/>
    <w:rsid w:val="00D36113"/>
    <w:rsid w:val="00D47717"/>
    <w:rsid w:val="00D85A63"/>
    <w:rsid w:val="00D92DAC"/>
    <w:rsid w:val="00DA58F7"/>
    <w:rsid w:val="00DC2165"/>
    <w:rsid w:val="00DF7A75"/>
    <w:rsid w:val="00E8375E"/>
    <w:rsid w:val="00EB5F69"/>
    <w:rsid w:val="00EC6AB3"/>
    <w:rsid w:val="00EF34B8"/>
    <w:rsid w:val="00F1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34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2C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6A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6A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6A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5F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5F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5F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5F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5F2E"/>
    <w:rPr>
      <w:b/>
      <w:bCs/>
      <w:sz w:val="20"/>
      <w:szCs w:val="20"/>
    </w:rPr>
  </w:style>
  <w:style w:type="character" w:styleId="Hipercze">
    <w:name w:val="Hyperlink"/>
    <w:basedOn w:val="Domylnaczcionkaakapitu"/>
    <w:unhideWhenUsed/>
    <w:rsid w:val="0035448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54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edref">
    <w:name w:val="need_ref"/>
    <w:basedOn w:val="Domylnaczcionkaakapitu"/>
    <w:rsid w:val="0035448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23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23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23E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34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2C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6A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6A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6A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5F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5F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5F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5F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5F2E"/>
    <w:rPr>
      <w:b/>
      <w:bCs/>
      <w:sz w:val="20"/>
      <w:szCs w:val="20"/>
    </w:rPr>
  </w:style>
  <w:style w:type="character" w:styleId="Hipercze">
    <w:name w:val="Hyperlink"/>
    <w:basedOn w:val="Domylnaczcionkaakapitu"/>
    <w:unhideWhenUsed/>
    <w:rsid w:val="0035448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54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edref">
    <w:name w:val="need_ref"/>
    <w:basedOn w:val="Domylnaczcionkaakapitu"/>
    <w:rsid w:val="0035448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23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23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40916">
          <w:marLeft w:val="14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841">
          <w:marLeft w:val="14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2766">
          <w:marLeft w:val="14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049">
          <w:marLeft w:val="14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36">
          <w:marLeft w:val="14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4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2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44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UNQDLrzLvy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0E31F-08BF-4EBF-9311-36AEC439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2643</Words>
  <Characters>15858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18465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afilipowicz</dc:creator>
  <cp:lastModifiedBy>afilipowicz</cp:lastModifiedBy>
  <cp:revision>2</cp:revision>
  <cp:lastPrinted>2016-12-28T14:42:00Z</cp:lastPrinted>
  <dcterms:created xsi:type="dcterms:W3CDTF">2017-06-12T11:20:00Z</dcterms:created>
  <dcterms:modified xsi:type="dcterms:W3CDTF">2017-06-12T11:20:00Z</dcterms:modified>
</cp:coreProperties>
</file>