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Default="00DB7889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TRWAŁY NOŚNIK – DECYZJE WOBEC </w:t>
      </w:r>
      <w:r w:rsidRPr="002050F5">
        <w:rPr>
          <w:sz w:val="32"/>
          <w:szCs w:val="32"/>
        </w:rPr>
        <w:t>ING, GETIN NOBLE</w:t>
      </w:r>
      <w:r>
        <w:rPr>
          <w:sz w:val="32"/>
          <w:szCs w:val="32"/>
        </w:rPr>
        <w:t xml:space="preserve"> I</w:t>
      </w:r>
      <w:r w:rsidRPr="002050F5">
        <w:rPr>
          <w:sz w:val="32"/>
          <w:szCs w:val="32"/>
        </w:rPr>
        <w:t xml:space="preserve"> PKO BP</w:t>
      </w:r>
    </w:p>
    <w:p w:rsidR="0077487B" w:rsidRPr="0077487B" w:rsidRDefault="0077487B" w:rsidP="0077487B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ING Bank Śląski, Getin Noble Bank i PKO BP nieprawidłowo informowały o </w:t>
      </w:r>
      <w:r w:rsidRPr="0077487B">
        <w:rPr>
          <w:b/>
          <w:sz w:val="22"/>
        </w:rPr>
        <w:t>zmianach opłat.</w:t>
      </w:r>
    </w:p>
    <w:p w:rsidR="0077487B" w:rsidRPr="0077487B" w:rsidRDefault="0077487B" w:rsidP="0077487B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77487B">
        <w:rPr>
          <w:b/>
          <w:sz w:val="22"/>
        </w:rPr>
        <w:t xml:space="preserve">Po decyzjach UOKiK rozliczą się z konsumentami z podwyżek </w:t>
      </w:r>
      <w:r>
        <w:rPr>
          <w:b/>
          <w:sz w:val="22"/>
        </w:rPr>
        <w:t>i</w:t>
      </w:r>
      <w:r w:rsidRPr="0077487B">
        <w:rPr>
          <w:b/>
          <w:sz w:val="22"/>
        </w:rPr>
        <w:t xml:space="preserve"> udostępnią czasowo niektóre usługi za darmo.</w:t>
      </w:r>
    </w:p>
    <w:p w:rsidR="0077487B" w:rsidRDefault="00552455" w:rsidP="0077487B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To kolejne decyzje UOKiK w sprawie trwałego nośnika, w</w:t>
      </w:r>
      <w:r w:rsidR="0077487B" w:rsidRPr="0077487B">
        <w:rPr>
          <w:b/>
          <w:sz w:val="22"/>
        </w:rPr>
        <w:t xml:space="preserve"> toku </w:t>
      </w:r>
      <w:r>
        <w:rPr>
          <w:b/>
          <w:sz w:val="22"/>
        </w:rPr>
        <w:t>są 4</w:t>
      </w:r>
      <w:r w:rsidR="0077487B" w:rsidRPr="0077487B">
        <w:rPr>
          <w:b/>
          <w:sz w:val="22"/>
        </w:rPr>
        <w:t xml:space="preserve"> postępowa</w:t>
      </w:r>
      <w:r>
        <w:rPr>
          <w:b/>
          <w:sz w:val="22"/>
        </w:rPr>
        <w:t>nia</w:t>
      </w:r>
      <w:r w:rsidR="0077487B" w:rsidRPr="0077487B">
        <w:rPr>
          <w:b/>
          <w:sz w:val="22"/>
        </w:rPr>
        <w:t>.</w:t>
      </w:r>
    </w:p>
    <w:p w:rsidR="0077487B" w:rsidRPr="0077487B" w:rsidRDefault="0077487B" w:rsidP="0077487B">
      <w:pPr>
        <w:pStyle w:val="Akapitzlist"/>
        <w:spacing w:before="240" w:line="360" w:lineRule="auto"/>
        <w:ind w:left="714"/>
        <w:jc w:val="both"/>
        <w:rPr>
          <w:b/>
          <w:sz w:val="22"/>
        </w:rPr>
      </w:pPr>
    </w:p>
    <w:p w:rsidR="002D14E3" w:rsidRDefault="004349BA" w:rsidP="00552455">
      <w:pPr>
        <w:spacing w:after="240" w:line="360" w:lineRule="auto"/>
        <w:jc w:val="both"/>
        <w:rPr>
          <w:b/>
          <w:sz w:val="22"/>
        </w:rPr>
      </w:pPr>
      <w:r w:rsidRPr="00D47CCF">
        <w:rPr>
          <w:b/>
          <w:sz w:val="22"/>
        </w:rPr>
        <w:t xml:space="preserve">[Warszawa, </w:t>
      </w:r>
      <w:r w:rsidR="00D177FC">
        <w:rPr>
          <w:b/>
          <w:sz w:val="22"/>
        </w:rPr>
        <w:t>8</w:t>
      </w:r>
      <w:r w:rsidR="00F960CF" w:rsidRPr="00D47CCF">
        <w:rPr>
          <w:b/>
          <w:sz w:val="22"/>
        </w:rPr>
        <w:t xml:space="preserve"> </w:t>
      </w:r>
      <w:r w:rsidR="00857B2D">
        <w:rPr>
          <w:b/>
          <w:sz w:val="22"/>
        </w:rPr>
        <w:t>listopada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</w:t>
      </w:r>
      <w:r w:rsidR="006439FA" w:rsidRPr="00D30392">
        <w:rPr>
          <w:sz w:val="22"/>
        </w:rPr>
        <w:t xml:space="preserve"> </w:t>
      </w:r>
      <w:r w:rsidR="00552455" w:rsidRPr="00552455">
        <w:rPr>
          <w:rFonts w:cs="Tahoma"/>
          <w:sz w:val="22"/>
          <w:shd w:val="clear" w:color="auto" w:fill="FFFFFF"/>
        </w:rPr>
        <w:t>Urząd Ochrony Konkurencji i Konsumentów sprawdza,</w:t>
      </w:r>
      <w:r w:rsidR="00552455">
        <w:rPr>
          <w:rFonts w:cs="Tahoma"/>
          <w:sz w:val="22"/>
          <w:shd w:val="clear" w:color="auto" w:fill="FFFFFF"/>
        </w:rPr>
        <w:t xml:space="preserve"> </w:t>
      </w:r>
      <w:hyperlink r:id="rId7" w:history="1">
        <w:r w:rsidR="00552455" w:rsidRPr="009A2FE3">
          <w:rPr>
            <w:rStyle w:val="Hipercze"/>
            <w:rFonts w:cs="Tahoma"/>
            <w:sz w:val="22"/>
            <w:shd w:val="clear" w:color="auto" w:fill="FFFFFF"/>
          </w:rPr>
          <w:t>jak banki zmieniają warunki umów z konsumentami</w:t>
        </w:r>
      </w:hyperlink>
      <w:r w:rsidR="00552455" w:rsidRPr="00552455">
        <w:rPr>
          <w:rFonts w:cs="Tahoma"/>
          <w:sz w:val="22"/>
          <w:shd w:val="clear" w:color="auto" w:fill="FFFFFF"/>
        </w:rPr>
        <w:t>, np. wysokość opłat.</w:t>
      </w:r>
      <w:r w:rsidR="00552455" w:rsidRPr="00552455">
        <w:rPr>
          <w:rFonts w:cs="Tahoma"/>
          <w:color w:val="3C4147"/>
          <w:sz w:val="22"/>
          <w:shd w:val="clear" w:color="auto" w:fill="FFFFFF"/>
        </w:rPr>
        <w:t xml:space="preserve"> </w:t>
      </w:r>
      <w:r w:rsidR="00552455">
        <w:rPr>
          <w:sz w:val="22"/>
        </w:rPr>
        <w:t>W</w:t>
      </w:r>
      <w:r w:rsidR="002D14E3">
        <w:rPr>
          <w:sz w:val="22"/>
        </w:rPr>
        <w:t>ydał już decyzje wobec 14 banków, które niewłaściwie informowały klientów o zmianach taryf czy regulaminów. Najnowsze dotyczą</w:t>
      </w:r>
      <w:r w:rsidR="002D14E3">
        <w:rPr>
          <w:rFonts w:cs="Tahoma"/>
          <w:sz w:val="22"/>
          <w:lang w:eastAsia="pl-PL"/>
        </w:rPr>
        <w:t xml:space="preserve"> </w:t>
      </w:r>
      <w:r w:rsidR="002D14E3" w:rsidRPr="00BE6E13">
        <w:rPr>
          <w:b/>
          <w:sz w:val="22"/>
        </w:rPr>
        <w:t>Getin Noble Bank</w:t>
      </w:r>
      <w:r w:rsidR="002D14E3">
        <w:rPr>
          <w:b/>
          <w:sz w:val="22"/>
        </w:rPr>
        <w:t>u</w:t>
      </w:r>
      <w:r w:rsidR="002D14E3" w:rsidRPr="00BE6E13">
        <w:rPr>
          <w:b/>
          <w:sz w:val="22"/>
        </w:rPr>
        <w:t>, ING Bank</w:t>
      </w:r>
      <w:r w:rsidR="002D14E3">
        <w:rPr>
          <w:b/>
          <w:sz w:val="22"/>
        </w:rPr>
        <w:t>u</w:t>
      </w:r>
      <w:r w:rsidR="002D14E3" w:rsidRPr="00BE6E13">
        <w:rPr>
          <w:b/>
          <w:sz w:val="22"/>
        </w:rPr>
        <w:t xml:space="preserve"> Śląski</w:t>
      </w:r>
      <w:r w:rsidR="002D14E3">
        <w:rPr>
          <w:b/>
          <w:sz w:val="22"/>
        </w:rPr>
        <w:t>ego</w:t>
      </w:r>
      <w:r w:rsidR="002D14E3" w:rsidRPr="00BE6E13">
        <w:rPr>
          <w:b/>
          <w:sz w:val="22"/>
        </w:rPr>
        <w:t xml:space="preserve"> </w:t>
      </w:r>
      <w:r w:rsidR="002D14E3" w:rsidRPr="00AC3205">
        <w:rPr>
          <w:sz w:val="22"/>
        </w:rPr>
        <w:t xml:space="preserve">oraz </w:t>
      </w:r>
      <w:r w:rsidR="002D14E3" w:rsidRPr="00BE6E13">
        <w:rPr>
          <w:b/>
          <w:sz w:val="22"/>
        </w:rPr>
        <w:t>PKO BP</w:t>
      </w:r>
      <w:r w:rsidR="002D14E3">
        <w:rPr>
          <w:b/>
          <w:sz w:val="22"/>
        </w:rPr>
        <w:t xml:space="preserve">. </w:t>
      </w:r>
    </w:p>
    <w:p w:rsidR="00917291" w:rsidRPr="00D47CCF" w:rsidRDefault="00917291" w:rsidP="00917291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Trwały nośnik</w:t>
      </w:r>
      <w:r w:rsidRPr="00D47CCF">
        <w:rPr>
          <w:rFonts w:cs="Tahoma"/>
          <w:b/>
          <w:bCs/>
          <w:sz w:val="22"/>
          <w:lang w:eastAsia="pl-PL"/>
        </w:rPr>
        <w:t xml:space="preserve"> </w:t>
      </w:r>
    </w:p>
    <w:p w:rsidR="00917291" w:rsidRDefault="00917291" w:rsidP="00917291">
      <w:pPr>
        <w:spacing w:after="240" w:line="360" w:lineRule="auto"/>
        <w:jc w:val="both"/>
        <w:rPr>
          <w:sz w:val="22"/>
        </w:rPr>
      </w:pPr>
      <w:r>
        <w:rPr>
          <w:sz w:val="22"/>
        </w:rPr>
        <w:t>O planach zmiany warunków umów banki muszą zawiadomić klientów dwa miesiące wcześniej. Mają obowiązek uzasadnić podwyżki – wskazać ich podstawę prawną, np. punkt w umowie mówiący, że są one możliwe w przypadku określonego wzrostu wskaźnika inflacji, i odnieść to do rze</w:t>
      </w:r>
      <w:r w:rsidR="00674484">
        <w:rPr>
          <w:sz w:val="22"/>
        </w:rPr>
        <w:t>czywistej sytuacji. Jak wykazały</w:t>
      </w:r>
      <w:r>
        <w:rPr>
          <w:sz w:val="22"/>
        </w:rPr>
        <w:t xml:space="preserve"> postępowani</w:t>
      </w:r>
      <w:r w:rsidR="00674484">
        <w:rPr>
          <w:sz w:val="22"/>
        </w:rPr>
        <w:t>a</w:t>
      </w:r>
      <w:r>
        <w:rPr>
          <w:sz w:val="22"/>
        </w:rPr>
        <w:t xml:space="preserve"> UOKiK, nie zawsze tak robiły. Z tego powodu konsumenci nie mogli zweryfikować, czy podwyżki były zasadne. </w:t>
      </w:r>
    </w:p>
    <w:p w:rsidR="00917291" w:rsidRDefault="00917291" w:rsidP="0091729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sprawdzał także, czy banki </w:t>
      </w:r>
      <w:r w:rsidR="00674484">
        <w:rPr>
          <w:sz w:val="22"/>
        </w:rPr>
        <w:t>zgodnie z przepisami</w:t>
      </w:r>
      <w:r>
        <w:rPr>
          <w:sz w:val="22"/>
        </w:rPr>
        <w:t xml:space="preserve"> przekazywały klientom informacje o zmianach warunków umów na tzw. trwałym nośniku informacji. Ma on zapewnić, żeby bank po wysłaniu do konsumenta informacji nie mógł już w nią ingerować ani jej usunąć i żeby klient miał do niej dostęp przez określony czas, także np. po rozwiązaniu umowy. Trwałym nośnikiem może być np. dokument zapisany na płycie CD, e-mail</w:t>
      </w:r>
      <w:r w:rsidR="00674484">
        <w:rPr>
          <w:sz w:val="22"/>
        </w:rPr>
        <w:t xml:space="preserve"> (</w:t>
      </w:r>
      <w:r>
        <w:rPr>
          <w:sz w:val="22"/>
        </w:rPr>
        <w:t>jeżeli zawarte są w nim wszystkie wymagane prawem informacje</w:t>
      </w:r>
      <w:r w:rsidR="00674484">
        <w:rPr>
          <w:sz w:val="22"/>
        </w:rPr>
        <w:t>), papierowy list</w:t>
      </w:r>
      <w:r>
        <w:rPr>
          <w:sz w:val="22"/>
        </w:rPr>
        <w:t xml:space="preserve">. Może być nim również wiadomość przesłana w ramach bankowości elektronicznej, o ile spełnia ustawowe cechy trwałego nośnika i bank poinformuje klienta o takiej korespondencji. Istotne jest również to, aby klient – niezależnie od dostępnych w banku </w:t>
      </w:r>
      <w:r w:rsidR="00674484">
        <w:rPr>
          <w:sz w:val="22"/>
        </w:rPr>
        <w:t>rodzajów</w:t>
      </w:r>
      <w:r>
        <w:rPr>
          <w:sz w:val="22"/>
        </w:rPr>
        <w:t xml:space="preserve"> komunikacji – mógł wyrazić zgodę na taką, a nie inną formę ko</w:t>
      </w:r>
      <w:r w:rsidR="00674484">
        <w:rPr>
          <w:sz w:val="22"/>
        </w:rPr>
        <w:t>ntaktu</w:t>
      </w:r>
      <w:r>
        <w:rPr>
          <w:sz w:val="22"/>
        </w:rPr>
        <w:t>, która jednocześnie musi spełnia</w:t>
      </w:r>
      <w:r w:rsidR="00674484">
        <w:rPr>
          <w:sz w:val="22"/>
        </w:rPr>
        <w:t>ć</w:t>
      </w:r>
      <w:r>
        <w:rPr>
          <w:sz w:val="22"/>
        </w:rPr>
        <w:t xml:space="preserve"> cechy trwałego nośnika. Bank nie powinien narzucać odgórnie jedne</w:t>
      </w:r>
      <w:r w:rsidR="00674484">
        <w:rPr>
          <w:sz w:val="22"/>
        </w:rPr>
        <w:t>go</w:t>
      </w:r>
      <w:r>
        <w:rPr>
          <w:sz w:val="22"/>
        </w:rPr>
        <w:t xml:space="preserve"> wybrane</w:t>
      </w:r>
      <w:r w:rsidR="00674484">
        <w:rPr>
          <w:sz w:val="22"/>
        </w:rPr>
        <w:t>go</w:t>
      </w:r>
      <w:r>
        <w:rPr>
          <w:sz w:val="22"/>
        </w:rPr>
        <w:t xml:space="preserve"> przez siebie </w:t>
      </w:r>
      <w:r w:rsidR="00674484">
        <w:rPr>
          <w:sz w:val="22"/>
        </w:rPr>
        <w:t>sposobu</w:t>
      </w:r>
      <w:r>
        <w:rPr>
          <w:sz w:val="22"/>
        </w:rPr>
        <w:t xml:space="preserve"> dostarczania </w:t>
      </w:r>
      <w:r>
        <w:rPr>
          <w:sz w:val="22"/>
        </w:rPr>
        <w:lastRenderedPageBreak/>
        <w:t xml:space="preserve">informacji o </w:t>
      </w:r>
      <w:r w:rsidR="00674484">
        <w:rPr>
          <w:sz w:val="22"/>
        </w:rPr>
        <w:t>podwyżkach opłat</w:t>
      </w:r>
      <w:r>
        <w:rPr>
          <w:sz w:val="22"/>
        </w:rPr>
        <w:t xml:space="preserve">. </w:t>
      </w:r>
      <w:r w:rsidR="00674484">
        <w:rPr>
          <w:sz w:val="22"/>
        </w:rPr>
        <w:t>Forma komunik</w:t>
      </w:r>
      <w:r>
        <w:rPr>
          <w:sz w:val="22"/>
        </w:rPr>
        <w:t xml:space="preserve">acji musi bowiem uwzględniać potrzeby i możliwości techniczne adresatów np. seniorów, z których wielu nie korzysta z komputerów. </w:t>
      </w:r>
    </w:p>
    <w:p w:rsidR="00552455" w:rsidRDefault="00917291" w:rsidP="0091729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Tymczasem banki w ostatnich latach dostarczały klientom wiadomości o podwyżkach wyłącznie w zależnych od siebie systemach e-bankowości. Nie spełniały one wymogów trwałego nośnika, bo np. bank mógł taką informację zmienić lub usunąć. Poza tym nie było pewności, że klient w ogóle wie o udostępnieniu mu tej korespondencji – jeśli np. do systemu logował się rzadko, mógł mieć mało czasu na zareagowanie na zmiany (np. zakwestionowanie ich, wypowiedzenie umowy bez konsekwencji) albo nawet dowiedzieć się o nich już po ich wejściu w życie. </w:t>
      </w:r>
    </w:p>
    <w:p w:rsidR="00917291" w:rsidRDefault="005D7272" w:rsidP="00917291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D</w:t>
      </w:r>
      <w:r w:rsidR="00917291" w:rsidRPr="00917291">
        <w:rPr>
          <w:b/>
          <w:sz w:val="22"/>
        </w:rPr>
        <w:t>ecyzje</w:t>
      </w:r>
      <w:r>
        <w:rPr>
          <w:b/>
          <w:sz w:val="22"/>
        </w:rPr>
        <w:t xml:space="preserve"> UOKiK</w:t>
      </w:r>
    </w:p>
    <w:p w:rsidR="00821AEC" w:rsidRDefault="00821AEC" w:rsidP="00917291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 xml:space="preserve">- Zobowiązaliśmy </w:t>
      </w:r>
      <w:r w:rsidR="00674484">
        <w:rPr>
          <w:i/>
          <w:sz w:val="22"/>
        </w:rPr>
        <w:t xml:space="preserve">kolejne </w:t>
      </w:r>
      <w:r>
        <w:rPr>
          <w:i/>
          <w:sz w:val="22"/>
        </w:rPr>
        <w:t xml:space="preserve">banki, żeby udzieliły poszkodowanym klientom rekompensat. Mają im zwrócić ewentualne nadpłaty i zaoferować </w:t>
      </w:r>
      <w:r w:rsidRPr="00374651">
        <w:rPr>
          <w:i/>
          <w:sz w:val="22"/>
        </w:rPr>
        <w:t xml:space="preserve">korzystanie przez pewien czas za darmo z niektórych usług. </w:t>
      </w:r>
      <w:r>
        <w:rPr>
          <w:i/>
          <w:sz w:val="22"/>
        </w:rPr>
        <w:t>Warto z tego skorzystać. Jeśli więc bank przysłał ci zawiadomienie o naszej decyzji, to go nie wyrzucaj. Dowiesz się z niego, jaka rekompensata ci przysługuje, co musisz zrobić, żeby z niej skorzystać i ile masz na to czasu</w:t>
      </w:r>
      <w:r w:rsidRPr="00374651">
        <w:rPr>
          <w:sz w:val="22"/>
        </w:rPr>
        <w:t xml:space="preserve"> - mówi Marek Niechciał, prezes U</w:t>
      </w:r>
      <w:r>
        <w:rPr>
          <w:sz w:val="22"/>
        </w:rPr>
        <w:t>OKiK</w:t>
      </w:r>
      <w:r w:rsidRPr="00374651">
        <w:rPr>
          <w:sz w:val="22"/>
        </w:rPr>
        <w:t>.</w:t>
      </w:r>
    </w:p>
    <w:p w:rsidR="005D7272" w:rsidRPr="00917291" w:rsidRDefault="005D7272" w:rsidP="00917291">
      <w:pPr>
        <w:spacing w:after="240" w:line="360" w:lineRule="auto"/>
        <w:jc w:val="both"/>
        <w:rPr>
          <w:b/>
          <w:sz w:val="22"/>
        </w:rPr>
      </w:pPr>
      <w:r>
        <w:rPr>
          <w:sz w:val="22"/>
        </w:rPr>
        <w:t>Najnowsze decyzje UOKiK dotyczą:</w:t>
      </w:r>
    </w:p>
    <w:p w:rsidR="002D14E3" w:rsidRPr="00E960BB" w:rsidRDefault="0048530A" w:rsidP="002D14E3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hyperlink r:id="rId8" w:history="1">
        <w:r w:rsidR="002D14E3" w:rsidRPr="0048530A">
          <w:rPr>
            <w:rStyle w:val="Hipercze"/>
            <w:b/>
            <w:sz w:val="22"/>
          </w:rPr>
          <w:t>Getin Noble Bank</w:t>
        </w:r>
      </w:hyperlink>
      <w:r w:rsidR="002D14E3" w:rsidRPr="00E960BB">
        <w:rPr>
          <w:sz w:val="22"/>
        </w:rPr>
        <w:t xml:space="preserve"> – klienci mogą liczyć na zwrot nadpłat z tytułu </w:t>
      </w:r>
      <w:r w:rsidR="002D14E3">
        <w:rPr>
          <w:sz w:val="22"/>
        </w:rPr>
        <w:t xml:space="preserve">podwyżek, o których </w:t>
      </w:r>
      <w:r w:rsidR="00AF6FCE">
        <w:rPr>
          <w:sz w:val="22"/>
        </w:rPr>
        <w:t>nie zostali prawidłowo</w:t>
      </w:r>
      <w:r w:rsidR="002D14E3">
        <w:rPr>
          <w:sz w:val="22"/>
        </w:rPr>
        <w:t xml:space="preserve"> zawiadomieni</w:t>
      </w:r>
      <w:r w:rsidR="00AF6FCE">
        <w:rPr>
          <w:sz w:val="22"/>
        </w:rPr>
        <w:t xml:space="preserve"> (warunkiem jest podpisanie aneksu)</w:t>
      </w:r>
      <w:r w:rsidR="002D14E3">
        <w:rPr>
          <w:sz w:val="22"/>
        </w:rPr>
        <w:t xml:space="preserve">, a także na zwolnienie przez 2 miesiące z opłat za przelewy krajowe ze swojego konta dokonane w placówce banku,  </w:t>
      </w:r>
    </w:p>
    <w:p w:rsidR="002D14E3" w:rsidRPr="00AC3205" w:rsidRDefault="0048530A" w:rsidP="002D14E3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hyperlink r:id="rId9" w:history="1">
        <w:r w:rsidR="002D14E3" w:rsidRPr="0048530A">
          <w:rPr>
            <w:rStyle w:val="Hipercze"/>
            <w:b/>
            <w:sz w:val="22"/>
          </w:rPr>
          <w:t>ING Bank Śląski</w:t>
        </w:r>
      </w:hyperlink>
      <w:bookmarkStart w:id="0" w:name="_GoBack"/>
      <w:bookmarkEnd w:id="0"/>
      <w:r w:rsidR="002D14E3" w:rsidRPr="00AC3205">
        <w:rPr>
          <w:b/>
          <w:sz w:val="22"/>
        </w:rPr>
        <w:t xml:space="preserve"> </w:t>
      </w:r>
      <w:r w:rsidR="002D14E3">
        <w:rPr>
          <w:b/>
          <w:sz w:val="22"/>
        </w:rPr>
        <w:t xml:space="preserve">- </w:t>
      </w:r>
      <w:r w:rsidR="002D14E3" w:rsidRPr="00E960BB">
        <w:rPr>
          <w:sz w:val="22"/>
        </w:rPr>
        <w:t xml:space="preserve">klienci mogą liczyć na zwrot nadpłat z tytułu </w:t>
      </w:r>
      <w:r w:rsidR="002D14E3">
        <w:rPr>
          <w:sz w:val="22"/>
        </w:rPr>
        <w:t xml:space="preserve">podwyżek, o których </w:t>
      </w:r>
      <w:r w:rsidR="00AF6FCE">
        <w:rPr>
          <w:sz w:val="22"/>
        </w:rPr>
        <w:t xml:space="preserve">nie zostali prawidłowo </w:t>
      </w:r>
      <w:r w:rsidR="002D14E3">
        <w:rPr>
          <w:sz w:val="22"/>
        </w:rPr>
        <w:t>zawiadomieni</w:t>
      </w:r>
      <w:r w:rsidR="00AF6FCE">
        <w:rPr>
          <w:sz w:val="22"/>
        </w:rPr>
        <w:t xml:space="preserve"> (warunkiem jest podpisanie aneksu)</w:t>
      </w:r>
      <w:r w:rsidR="002D14E3">
        <w:rPr>
          <w:sz w:val="22"/>
        </w:rPr>
        <w:t>, a także na zwolnienie przez 1 miesiąc z opłat za wypłatę kartą debetową gotówki ze wszystkich bankomatów w Polsce,</w:t>
      </w:r>
    </w:p>
    <w:p w:rsidR="002D14E3" w:rsidRDefault="0048530A" w:rsidP="002D14E3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hyperlink r:id="rId10" w:history="1">
        <w:r w:rsidR="002D14E3" w:rsidRPr="0048530A">
          <w:rPr>
            <w:rStyle w:val="Hipercze"/>
            <w:b/>
            <w:sz w:val="22"/>
          </w:rPr>
          <w:t>PKO BP</w:t>
        </w:r>
      </w:hyperlink>
      <w:r w:rsidR="002D14E3">
        <w:rPr>
          <w:b/>
          <w:sz w:val="22"/>
        </w:rPr>
        <w:t xml:space="preserve"> - </w:t>
      </w:r>
      <w:r w:rsidR="002D14E3" w:rsidRPr="00E960BB">
        <w:rPr>
          <w:sz w:val="22"/>
        </w:rPr>
        <w:t xml:space="preserve">klienci mogą liczyć na zwrot nadpłat z tytułu </w:t>
      </w:r>
      <w:r w:rsidR="002D14E3">
        <w:rPr>
          <w:sz w:val="22"/>
        </w:rPr>
        <w:t xml:space="preserve">podwyżek, o których </w:t>
      </w:r>
      <w:r w:rsidR="00AF6FCE">
        <w:rPr>
          <w:sz w:val="22"/>
        </w:rPr>
        <w:t>nie zostali prawidłowo</w:t>
      </w:r>
      <w:r w:rsidR="002D14E3">
        <w:rPr>
          <w:sz w:val="22"/>
        </w:rPr>
        <w:t xml:space="preserve"> zawiadomieni</w:t>
      </w:r>
      <w:r w:rsidR="00AF6FCE">
        <w:rPr>
          <w:sz w:val="22"/>
        </w:rPr>
        <w:t xml:space="preserve"> (warunkiem jest podpisanie porozumienia)</w:t>
      </w:r>
      <w:r w:rsidR="002D14E3">
        <w:rPr>
          <w:sz w:val="22"/>
        </w:rPr>
        <w:t xml:space="preserve">, a także na </w:t>
      </w:r>
      <w:r w:rsidR="003C1304">
        <w:rPr>
          <w:sz w:val="22"/>
        </w:rPr>
        <w:t xml:space="preserve">okresowe </w:t>
      </w:r>
      <w:r w:rsidR="002D14E3">
        <w:rPr>
          <w:sz w:val="22"/>
        </w:rPr>
        <w:t xml:space="preserve">bezpłatne: powiadomienia SMS, przelewy do ZUS i urzędu skarbowego za pośrednictwem serwisu telefonicznego oraz internetowego lub w kanale mobilnym, </w:t>
      </w:r>
      <w:r w:rsidR="002D14E3">
        <w:rPr>
          <w:sz w:val="22"/>
        </w:rPr>
        <w:lastRenderedPageBreak/>
        <w:t>rozłożenie jednej transakcji kartą kredytową (200-1500 zł) na raty (do 6 miesięcy) z oprocentowaniem 0 proc.,</w:t>
      </w:r>
      <w:r w:rsidR="003C1304">
        <w:rPr>
          <w:sz w:val="22"/>
        </w:rPr>
        <w:t xml:space="preserve"> czy też</w:t>
      </w:r>
      <w:r w:rsidR="002D14E3">
        <w:rPr>
          <w:sz w:val="22"/>
        </w:rPr>
        <w:t xml:space="preserve"> wybór niestandardow</w:t>
      </w:r>
      <w:r w:rsidR="00552455">
        <w:rPr>
          <w:sz w:val="22"/>
        </w:rPr>
        <w:t xml:space="preserve">ego wizerunku karty debetowej. </w:t>
      </w:r>
    </w:p>
    <w:p w:rsidR="00552455" w:rsidRPr="00AC3205" w:rsidRDefault="00552455" w:rsidP="00552455">
      <w:pPr>
        <w:spacing w:after="240" w:line="360" w:lineRule="auto"/>
        <w:jc w:val="both"/>
        <w:rPr>
          <w:sz w:val="22"/>
        </w:rPr>
      </w:pPr>
      <w:r w:rsidRPr="00AC3205">
        <w:rPr>
          <w:sz w:val="22"/>
        </w:rPr>
        <w:t xml:space="preserve">Jeśli jesteś </w:t>
      </w:r>
      <w:r>
        <w:rPr>
          <w:sz w:val="22"/>
        </w:rPr>
        <w:t xml:space="preserve">klientem któregoś z tych banków, nie przegap zawiadomienia i zadbaj o to, żeby skorzystać z rekompensaty. Szczegóły </w:t>
      </w:r>
      <w:r w:rsidR="00821AEC">
        <w:rPr>
          <w:sz w:val="22"/>
        </w:rPr>
        <w:t>i</w:t>
      </w:r>
      <w:r>
        <w:rPr>
          <w:sz w:val="22"/>
        </w:rPr>
        <w:t xml:space="preserve"> terminy znajdziesz w decyzjach UOKiK.</w:t>
      </w:r>
    </w:p>
    <w:p w:rsidR="00AC3205" w:rsidRDefault="005D7272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Wcześniej </w:t>
      </w:r>
      <w:r w:rsidR="008528B6">
        <w:rPr>
          <w:rFonts w:cs="Tahoma"/>
          <w:sz w:val="22"/>
          <w:lang w:eastAsia="pl-PL"/>
        </w:rPr>
        <w:t>UOKiK</w:t>
      </w:r>
      <w:r>
        <w:rPr>
          <w:rFonts w:cs="Tahoma"/>
          <w:sz w:val="22"/>
          <w:lang w:eastAsia="pl-PL"/>
        </w:rPr>
        <w:t xml:space="preserve"> wydał decyzje nakładające zobowiązania na</w:t>
      </w:r>
      <w:r w:rsidR="008528B6">
        <w:rPr>
          <w:rFonts w:cs="Tahoma"/>
          <w:sz w:val="22"/>
          <w:lang w:eastAsia="pl-PL"/>
        </w:rPr>
        <w:t xml:space="preserve">: </w:t>
      </w:r>
      <w:hyperlink r:id="rId11" w:history="1">
        <w:proofErr w:type="spellStart"/>
        <w:r w:rsidR="008528B6" w:rsidRPr="000957C4">
          <w:rPr>
            <w:rStyle w:val="Hipercze"/>
            <w:rFonts w:cs="Tahoma"/>
            <w:sz w:val="22"/>
            <w:shd w:val="clear" w:color="auto" w:fill="FFFFFF"/>
          </w:rPr>
          <w:t>Credit</w:t>
        </w:r>
        <w:proofErr w:type="spellEnd"/>
        <w:r w:rsidR="008528B6" w:rsidRPr="000957C4">
          <w:rPr>
            <w:rStyle w:val="Hipercze"/>
            <w:rFonts w:cs="Tahoma"/>
            <w:sz w:val="22"/>
            <w:shd w:val="clear" w:color="auto" w:fill="FFFFFF"/>
          </w:rPr>
          <w:t xml:space="preserve"> </w:t>
        </w:r>
        <w:proofErr w:type="spellStart"/>
        <w:r w:rsidR="008528B6" w:rsidRPr="000957C4">
          <w:rPr>
            <w:rStyle w:val="Hipercze"/>
            <w:rFonts w:cs="Tahoma"/>
            <w:sz w:val="22"/>
            <w:shd w:val="clear" w:color="auto" w:fill="FFFFFF"/>
          </w:rPr>
          <w:t>Agricole</w:t>
        </w:r>
        <w:proofErr w:type="spellEnd"/>
        <w:r w:rsidR="008528B6" w:rsidRPr="000957C4">
          <w:rPr>
            <w:rStyle w:val="Hipercze"/>
            <w:rFonts w:cs="Tahoma"/>
            <w:sz w:val="22"/>
            <w:shd w:val="clear" w:color="auto" w:fill="FFFFFF"/>
          </w:rPr>
          <w:t xml:space="preserve"> Bank Polska</w:t>
        </w:r>
      </w:hyperlink>
      <w:r w:rsidR="000957C4">
        <w:rPr>
          <w:rFonts w:cs="Tahoma"/>
          <w:sz w:val="22"/>
          <w:lang w:eastAsia="pl-PL"/>
        </w:rPr>
        <w:t>,</w:t>
      </w:r>
      <w:r w:rsidR="000957C4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hyperlink r:id="rId12" w:history="1">
        <w:r w:rsidR="000957C4" w:rsidRPr="000957C4">
          <w:rPr>
            <w:rStyle w:val="Hipercze"/>
            <w:rFonts w:cs="Tahoma"/>
            <w:sz w:val="22"/>
            <w:shd w:val="clear" w:color="auto" w:fill="FFFFFF"/>
          </w:rPr>
          <w:t>Euro Bank</w:t>
        </w:r>
      </w:hyperlink>
      <w:r w:rsidR="000957C4" w:rsidRPr="000957C4">
        <w:rPr>
          <w:rFonts w:cs="Tahoma"/>
          <w:color w:val="3C4147"/>
          <w:sz w:val="22"/>
          <w:shd w:val="clear" w:color="auto" w:fill="FFFFFF"/>
        </w:rPr>
        <w:t xml:space="preserve">, </w:t>
      </w:r>
      <w:hyperlink r:id="rId13" w:history="1">
        <w:r w:rsidR="000957C4" w:rsidRPr="000957C4">
          <w:rPr>
            <w:rStyle w:val="Hipercze"/>
            <w:rFonts w:cs="Tahoma"/>
            <w:sz w:val="22"/>
            <w:shd w:val="clear" w:color="auto" w:fill="FFFFFF"/>
          </w:rPr>
          <w:t>Bank Handlowy</w:t>
        </w:r>
      </w:hyperlink>
      <w:r w:rsidR="000957C4" w:rsidRPr="000957C4">
        <w:rPr>
          <w:rFonts w:cs="Tahoma"/>
          <w:color w:val="3C4147"/>
          <w:sz w:val="22"/>
          <w:shd w:val="clear" w:color="auto" w:fill="FFFFFF"/>
        </w:rPr>
        <w:t xml:space="preserve">, </w:t>
      </w:r>
      <w:hyperlink r:id="rId14" w:history="1">
        <w:r w:rsidR="000957C4" w:rsidRPr="000957C4">
          <w:rPr>
            <w:rStyle w:val="Hipercze"/>
            <w:rFonts w:cs="Tahoma"/>
            <w:sz w:val="22"/>
            <w:shd w:val="clear" w:color="auto" w:fill="FFFFFF"/>
          </w:rPr>
          <w:t>Bank Ochrony Środowiska</w:t>
        </w:r>
      </w:hyperlink>
      <w:r w:rsidR="000957C4" w:rsidRPr="000957C4">
        <w:rPr>
          <w:rFonts w:cs="Tahoma"/>
          <w:b/>
          <w:color w:val="3C4147"/>
          <w:sz w:val="22"/>
          <w:shd w:val="clear" w:color="auto" w:fill="FFFFFF"/>
        </w:rPr>
        <w:t xml:space="preserve">, </w:t>
      </w:r>
      <w:hyperlink r:id="rId15" w:history="1">
        <w:r w:rsidR="000957C4" w:rsidRPr="002C384E">
          <w:rPr>
            <w:rStyle w:val="Hipercze"/>
            <w:rFonts w:cs="Tahoma"/>
            <w:sz w:val="22"/>
            <w:shd w:val="clear" w:color="auto" w:fill="FFFFFF"/>
          </w:rPr>
          <w:t>Alior Bank</w:t>
        </w:r>
      </w:hyperlink>
      <w:r w:rsidR="000957C4" w:rsidRPr="000957C4">
        <w:rPr>
          <w:rStyle w:val="Pogrubienie"/>
          <w:rFonts w:cs="Tahoma"/>
          <w:b w:val="0"/>
          <w:color w:val="3C4147"/>
          <w:sz w:val="22"/>
          <w:shd w:val="clear" w:color="auto" w:fill="FFFFFF"/>
        </w:rPr>
        <w:t xml:space="preserve">, </w:t>
      </w:r>
      <w:hyperlink r:id="rId16" w:history="1">
        <w:r w:rsidR="000957C4" w:rsidRPr="002C384E">
          <w:rPr>
            <w:rStyle w:val="Hipercze"/>
            <w:rFonts w:cs="Tahoma"/>
            <w:sz w:val="22"/>
            <w:shd w:val="clear" w:color="auto" w:fill="FFFFFF"/>
          </w:rPr>
          <w:t>Bank Millennium</w:t>
        </w:r>
      </w:hyperlink>
      <w:r w:rsidR="000957C4" w:rsidRPr="000957C4">
        <w:rPr>
          <w:rStyle w:val="Pogrubienie"/>
          <w:rFonts w:cs="Tahoma"/>
          <w:b w:val="0"/>
          <w:color w:val="3C4147"/>
          <w:sz w:val="22"/>
          <w:shd w:val="clear" w:color="auto" w:fill="FFFFFF"/>
        </w:rPr>
        <w:t xml:space="preserve">, </w:t>
      </w:r>
      <w:hyperlink r:id="rId17" w:history="1">
        <w:r w:rsidR="000957C4" w:rsidRPr="002C384E">
          <w:rPr>
            <w:rStyle w:val="Hipercze"/>
            <w:rFonts w:cs="Tahoma"/>
            <w:sz w:val="22"/>
            <w:shd w:val="clear" w:color="auto" w:fill="FFFFFF"/>
          </w:rPr>
          <w:t>BZ WBK</w:t>
        </w:r>
      </w:hyperlink>
      <w:r w:rsidR="000957C4" w:rsidRPr="000957C4">
        <w:rPr>
          <w:rStyle w:val="Pogrubienie"/>
          <w:rFonts w:cs="Tahoma"/>
          <w:b w:val="0"/>
          <w:color w:val="3C4147"/>
          <w:sz w:val="22"/>
          <w:shd w:val="clear" w:color="auto" w:fill="FFFFFF"/>
        </w:rPr>
        <w:t xml:space="preserve"> </w:t>
      </w:r>
      <w:r w:rsidR="000957C4" w:rsidRPr="002D14E3">
        <w:rPr>
          <w:rStyle w:val="Pogrubienie"/>
          <w:rFonts w:cs="Tahoma"/>
          <w:b w:val="0"/>
          <w:sz w:val="22"/>
          <w:shd w:val="clear" w:color="auto" w:fill="FFFFFF"/>
        </w:rPr>
        <w:t>(dziś Santander Bank Polska),</w:t>
      </w:r>
      <w:r w:rsidR="000957C4" w:rsidRPr="000957C4">
        <w:rPr>
          <w:rStyle w:val="Pogrubienie"/>
          <w:rFonts w:cs="Tahoma"/>
          <w:b w:val="0"/>
          <w:color w:val="3C4147"/>
          <w:sz w:val="22"/>
          <w:shd w:val="clear" w:color="auto" w:fill="FFFFFF"/>
        </w:rPr>
        <w:t xml:space="preserve"> </w:t>
      </w:r>
      <w:hyperlink r:id="rId18" w:history="1">
        <w:r w:rsidR="000957C4" w:rsidRPr="002C384E">
          <w:rPr>
            <w:rStyle w:val="Hipercze"/>
            <w:rFonts w:cs="Tahoma"/>
            <w:sz w:val="22"/>
            <w:shd w:val="clear" w:color="auto" w:fill="FFFFFF"/>
          </w:rPr>
          <w:t>Deutsche Bank</w:t>
        </w:r>
      </w:hyperlink>
      <w:r w:rsidR="000957C4" w:rsidRPr="000957C4">
        <w:rPr>
          <w:rStyle w:val="Pogrubienie"/>
          <w:rFonts w:cs="Tahoma"/>
          <w:b w:val="0"/>
          <w:color w:val="3C4147"/>
          <w:sz w:val="22"/>
          <w:shd w:val="clear" w:color="auto" w:fill="FFFFFF"/>
        </w:rPr>
        <w:t xml:space="preserve">, </w:t>
      </w:r>
      <w:hyperlink r:id="rId19" w:history="1">
        <w:r w:rsidR="000957C4" w:rsidRPr="000957C4">
          <w:rPr>
            <w:rStyle w:val="Hipercze"/>
            <w:rFonts w:cs="Tahoma"/>
            <w:sz w:val="22"/>
            <w:shd w:val="clear" w:color="auto" w:fill="FFFFFF"/>
          </w:rPr>
          <w:t>Idea Bank</w:t>
        </w:r>
      </w:hyperlink>
      <w:r w:rsidR="000957C4" w:rsidRPr="000957C4">
        <w:rPr>
          <w:rStyle w:val="Pogrubienie"/>
          <w:rFonts w:cs="Tahoma"/>
          <w:b w:val="0"/>
          <w:color w:val="3C4147"/>
          <w:sz w:val="22"/>
          <w:shd w:val="clear" w:color="auto" w:fill="FFFFFF"/>
        </w:rPr>
        <w:t xml:space="preserve">, </w:t>
      </w:r>
      <w:hyperlink r:id="rId20" w:history="1">
        <w:r w:rsidR="000957C4" w:rsidRPr="000957C4">
          <w:rPr>
            <w:rStyle w:val="Hipercze"/>
            <w:rFonts w:cs="Tahoma"/>
            <w:sz w:val="22"/>
            <w:shd w:val="clear" w:color="auto" w:fill="FFFFFF"/>
          </w:rPr>
          <w:t>Pekao SA</w:t>
        </w:r>
      </w:hyperlink>
      <w:r w:rsidR="000957C4" w:rsidRPr="000957C4">
        <w:rPr>
          <w:rStyle w:val="Pogrubienie"/>
          <w:rFonts w:cs="Tahoma"/>
          <w:b w:val="0"/>
          <w:color w:val="3C4147"/>
          <w:sz w:val="22"/>
          <w:shd w:val="clear" w:color="auto" w:fill="FFFFFF"/>
        </w:rPr>
        <w:t xml:space="preserve">, </w:t>
      </w:r>
      <w:hyperlink r:id="rId21" w:history="1">
        <w:r w:rsidR="000957C4" w:rsidRPr="002C384E">
          <w:rPr>
            <w:rStyle w:val="Hipercze"/>
            <w:rFonts w:cs="Tahoma"/>
            <w:sz w:val="22"/>
            <w:shd w:val="clear" w:color="auto" w:fill="FFFFFF"/>
          </w:rPr>
          <w:t>Plus Bank</w:t>
        </w:r>
      </w:hyperlink>
      <w:r w:rsidR="000957C4" w:rsidRPr="000957C4">
        <w:rPr>
          <w:rStyle w:val="Pogrubienie"/>
          <w:rFonts w:cs="Tahoma"/>
          <w:b w:val="0"/>
          <w:color w:val="3C4147"/>
          <w:sz w:val="22"/>
          <w:shd w:val="clear" w:color="auto" w:fill="FFFFFF"/>
        </w:rPr>
        <w:t>.</w:t>
      </w:r>
      <w:r w:rsidR="002C384E">
        <w:rPr>
          <w:rStyle w:val="Pogrubienie"/>
          <w:rFonts w:cs="Tahoma"/>
          <w:b w:val="0"/>
          <w:color w:val="3C4147"/>
          <w:sz w:val="22"/>
          <w:shd w:val="clear" w:color="auto" w:fill="FFFFFF"/>
        </w:rPr>
        <w:t xml:space="preserve"> </w:t>
      </w:r>
      <w:r w:rsidR="002C384E">
        <w:rPr>
          <w:rFonts w:cs="Tahoma"/>
          <w:sz w:val="22"/>
          <w:lang w:eastAsia="pl-PL"/>
        </w:rPr>
        <w:t>W toku są jeszcze 4 postępowania</w:t>
      </w:r>
      <w:r w:rsidR="008528B6">
        <w:rPr>
          <w:rFonts w:cs="Tahoma"/>
          <w:sz w:val="22"/>
          <w:lang w:eastAsia="pl-PL"/>
        </w:rPr>
        <w:t xml:space="preserve"> </w:t>
      </w:r>
      <w:r w:rsidR="002C384E">
        <w:rPr>
          <w:rFonts w:cs="Tahoma"/>
          <w:sz w:val="22"/>
          <w:lang w:eastAsia="pl-PL"/>
        </w:rPr>
        <w:t xml:space="preserve">wobec: </w:t>
      </w:r>
      <w:r w:rsidR="002C384E" w:rsidRPr="002C384E">
        <w:rPr>
          <w:rFonts w:cs="Tahoma"/>
          <w:sz w:val="22"/>
          <w:lang w:eastAsia="pl-PL"/>
        </w:rPr>
        <w:t xml:space="preserve">BGŻ BNP </w:t>
      </w:r>
      <w:proofErr w:type="spellStart"/>
      <w:r w:rsidR="002C384E" w:rsidRPr="002C384E">
        <w:rPr>
          <w:rFonts w:cs="Tahoma"/>
          <w:sz w:val="22"/>
          <w:lang w:eastAsia="pl-PL"/>
        </w:rPr>
        <w:t>Paribas</w:t>
      </w:r>
      <w:proofErr w:type="spellEnd"/>
      <w:r w:rsidR="002C384E" w:rsidRPr="002C384E">
        <w:rPr>
          <w:rFonts w:cs="Tahoma"/>
          <w:sz w:val="22"/>
          <w:lang w:eastAsia="pl-PL"/>
        </w:rPr>
        <w:t>, BPH, mBanku i Raiffeisen.</w:t>
      </w:r>
      <w:r w:rsidR="008528B6">
        <w:rPr>
          <w:rFonts w:cs="Tahoma"/>
          <w:sz w:val="22"/>
          <w:lang w:eastAsia="pl-PL"/>
        </w:rPr>
        <w:t xml:space="preserve"> </w:t>
      </w:r>
    </w:p>
    <w:p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:rsidR="00D81546" w:rsidRPr="00857B2D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857B2D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22" w:history="1">
        <w:r w:rsidRPr="00674484">
          <w:rPr>
            <w:rStyle w:val="Hipercze"/>
            <w:rFonts w:ascii="Trebuchet MS" w:hAnsi="Trebuchet MS"/>
            <w:sz w:val="18"/>
            <w:szCs w:val="18"/>
            <w:lang w:val="pl-PL"/>
          </w:rPr>
          <w:t>porady@dlakonsumentow.pl</w:t>
        </w:r>
      </w:hyperlink>
      <w:r w:rsidRPr="00674484">
        <w:rPr>
          <w:rStyle w:val="Hipercze"/>
        </w:rPr>
        <w:t xml:space="preserve"> </w:t>
      </w:r>
      <w:r w:rsidRPr="00674484">
        <w:rPr>
          <w:rStyle w:val="Hipercze"/>
        </w:rPr>
        <w:br/>
      </w:r>
      <w:hyperlink r:id="rId23" w:history="1">
        <w:r w:rsidRPr="00674484">
          <w:rPr>
            <w:rStyle w:val="Hipercze"/>
            <w:rFonts w:ascii="Trebuchet MS" w:hAnsi="Trebuchet MS"/>
            <w:sz w:val="18"/>
            <w:szCs w:val="18"/>
            <w:lang w:val="pl-PL"/>
          </w:rPr>
          <w:t>Oddziały Federacji Konsumentów</w:t>
        </w:r>
      </w:hyperlink>
      <w:r w:rsidRPr="00674484">
        <w:rPr>
          <w:rStyle w:val="Hipercze"/>
        </w:rPr>
        <w:br/>
      </w:r>
      <w:hyperlink r:id="rId24" w:history="1">
        <w:r w:rsidRPr="00674484">
          <w:rPr>
            <w:rStyle w:val="Hipercze"/>
            <w:rFonts w:ascii="Trebuchet MS" w:hAnsi="Trebuchet MS"/>
            <w:sz w:val="18"/>
            <w:szCs w:val="18"/>
            <w:lang w:val="pl-PL"/>
          </w:rPr>
          <w:t>Rzecznicy konsumentów</w:t>
        </w:r>
      </w:hyperlink>
      <w:r w:rsidRPr="00857B2D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  <w:r w:rsidR="00D81546" w:rsidRPr="00857B2D">
        <w:rPr>
          <w:rFonts w:ascii="Trebuchet MS" w:hAnsi="Trebuchet MS"/>
          <w:sz w:val="18"/>
          <w:szCs w:val="18"/>
          <w:lang w:val="pl-PL"/>
        </w:rPr>
        <w:br/>
      </w:r>
      <w:hyperlink r:id="rId25" w:history="1">
        <w:r w:rsidR="00D81546" w:rsidRPr="00857B2D">
          <w:rPr>
            <w:rStyle w:val="Hipercze"/>
            <w:rFonts w:ascii="Trebuchet MS" w:hAnsi="Trebuchet MS"/>
            <w:sz w:val="18"/>
            <w:szCs w:val="18"/>
            <w:lang w:val="pl-PL"/>
          </w:rPr>
          <w:t>Rzecznik finansowy</w:t>
        </w:r>
      </w:hyperlink>
      <w:r w:rsidR="00412A51">
        <w:rPr>
          <w:rStyle w:val="Hipercze"/>
          <w:rFonts w:ascii="Trebuchet MS" w:hAnsi="Trebuchet MS"/>
          <w:sz w:val="18"/>
          <w:szCs w:val="18"/>
          <w:lang w:val="pl-PL"/>
        </w:rPr>
        <w:t xml:space="preserve"> </w:t>
      </w:r>
      <w:r w:rsidR="00412A51" w:rsidRPr="009D3825">
        <w:rPr>
          <w:rFonts w:ascii="Trebuchet MS" w:hAnsi="Trebuchet MS"/>
          <w:sz w:val="18"/>
          <w:szCs w:val="18"/>
        </w:rPr>
        <w:t xml:space="preserve">- </w:t>
      </w:r>
      <w:proofErr w:type="spellStart"/>
      <w:r w:rsidR="00412A51" w:rsidRPr="009D3825">
        <w:rPr>
          <w:rFonts w:ascii="Trebuchet MS" w:hAnsi="Trebuchet MS"/>
          <w:sz w:val="18"/>
          <w:szCs w:val="18"/>
        </w:rPr>
        <w:t>po</w:t>
      </w:r>
      <w:proofErr w:type="spellEnd"/>
      <w:r w:rsidR="00412A51" w:rsidRPr="009D3825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12A51" w:rsidRPr="009D3825">
        <w:rPr>
          <w:rFonts w:ascii="Trebuchet MS" w:hAnsi="Trebuchet MS"/>
          <w:sz w:val="18"/>
          <w:szCs w:val="18"/>
        </w:rPr>
        <w:t>odrzuceniu</w:t>
      </w:r>
      <w:proofErr w:type="spellEnd"/>
      <w:r w:rsidR="00412A51" w:rsidRPr="009D3825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12A51" w:rsidRPr="009D3825">
        <w:rPr>
          <w:rFonts w:ascii="Trebuchet MS" w:hAnsi="Trebuchet MS"/>
          <w:sz w:val="18"/>
          <w:szCs w:val="18"/>
        </w:rPr>
        <w:t>reklamacji</w:t>
      </w:r>
      <w:proofErr w:type="spellEnd"/>
      <w:r w:rsidR="00412A51" w:rsidRPr="009D3825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12A51" w:rsidRPr="009D3825">
        <w:rPr>
          <w:rFonts w:ascii="Trebuchet MS" w:hAnsi="Trebuchet MS"/>
          <w:sz w:val="18"/>
          <w:szCs w:val="18"/>
        </w:rPr>
        <w:t>przez</w:t>
      </w:r>
      <w:proofErr w:type="spellEnd"/>
      <w:r w:rsidR="00412A51" w:rsidRPr="009D3825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12A51" w:rsidRPr="009D3825">
        <w:rPr>
          <w:rFonts w:ascii="Trebuchet MS" w:hAnsi="Trebuchet MS"/>
          <w:sz w:val="18"/>
          <w:szCs w:val="18"/>
        </w:rPr>
        <w:t>instytucję</w:t>
      </w:r>
      <w:proofErr w:type="spellEnd"/>
      <w:r w:rsidR="00412A51" w:rsidRPr="009D3825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412A51" w:rsidRPr="009D3825">
        <w:rPr>
          <w:rFonts w:ascii="Trebuchet MS" w:hAnsi="Trebuchet MS"/>
          <w:sz w:val="18"/>
          <w:szCs w:val="18"/>
        </w:rPr>
        <w:t>finansową</w:t>
      </w:r>
      <w:proofErr w:type="spellEnd"/>
    </w:p>
    <w:p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:rsidR="00552455" w:rsidRPr="005D7272" w:rsidRDefault="002B2564" w:rsidP="005D7272">
      <w:pPr>
        <w:pStyle w:val="TEKSTKOMUNIKATU"/>
        <w:jc w:val="left"/>
        <w:rPr>
          <w:rFonts w:ascii="Trebuchet MS" w:hAnsi="Trebuchet MS"/>
          <w:color w:val="0000FF"/>
          <w:sz w:val="18"/>
          <w:szCs w:val="18"/>
          <w:u w:val="single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>Biuro Prasowe</w:t>
      </w:r>
      <w:r w:rsidR="00641522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UOKiK  </w:t>
      </w:r>
      <w:r w:rsidR="00641522"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 w:rsidR="00641522"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 w:rsidR="00641522"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26" w:tooltip="wyślij e-mail na adres: malgorzata.cieloch@uokik.gov.pl" w:history="1">
        <w:r w:rsidR="00641522" w:rsidRPr="009A2FE3">
          <w:rPr>
            <w:rStyle w:val="Hipercze"/>
            <w:rFonts w:ascii="Trebuchet MS" w:hAnsi="Trebuchet MS"/>
            <w:sz w:val="18"/>
            <w:szCs w:val="18"/>
            <w:lang w:val="pl-PL"/>
          </w:rPr>
          <w:t>biuroprasowe@uokik.gov.pl</w:t>
        </w:r>
      </w:hyperlink>
      <w:r w:rsidR="00641522"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 w:rsidR="00641522" w:rsidRPr="00857B2D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="00641522" w:rsidRPr="00857B2D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552455" w:rsidRPr="005D7272" w:rsidSect="006439FA">
      <w:headerReference w:type="default" r:id="rId27"/>
      <w:footerReference w:type="default" r:id="rId28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86" w:rsidRDefault="00813386">
      <w:r>
        <w:separator/>
      </w:r>
    </w:p>
  </w:endnote>
  <w:endnote w:type="continuationSeparator" w:id="0">
    <w:p w:rsidR="00813386" w:rsidRDefault="0081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48530A" w:rsidP="004470CD">
    <w:pPr>
      <w:pStyle w:val="Stopka"/>
    </w:pPr>
  </w:p>
  <w:p w:rsidR="0059016B" w:rsidRDefault="0048530A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86" w:rsidRDefault="00813386">
      <w:r>
        <w:separator/>
      </w:r>
    </w:p>
  </w:footnote>
  <w:footnote w:type="continuationSeparator" w:id="0">
    <w:p w:rsidR="00813386" w:rsidRDefault="0081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48530A" w:rsidP="0041396E">
    <w:pPr>
      <w:pStyle w:val="Nagwek"/>
      <w:tabs>
        <w:tab w:val="clear" w:pos="9072"/>
      </w:tabs>
    </w:pPr>
  </w:p>
  <w:p w:rsidR="0059016B" w:rsidRDefault="0048530A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D43"/>
    <w:multiLevelType w:val="hybridMultilevel"/>
    <w:tmpl w:val="DC180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A393F"/>
    <w:multiLevelType w:val="multilevel"/>
    <w:tmpl w:val="EFA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130C7"/>
    <w:multiLevelType w:val="multilevel"/>
    <w:tmpl w:val="F9A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6BE2"/>
    <w:rsid w:val="000403D6"/>
    <w:rsid w:val="0005185E"/>
    <w:rsid w:val="00061285"/>
    <w:rsid w:val="000722A5"/>
    <w:rsid w:val="00073AA7"/>
    <w:rsid w:val="000957C4"/>
    <w:rsid w:val="000B1AC5"/>
    <w:rsid w:val="00100856"/>
    <w:rsid w:val="00116076"/>
    <w:rsid w:val="00120FBD"/>
    <w:rsid w:val="0012424D"/>
    <w:rsid w:val="001610B7"/>
    <w:rsid w:val="001763DE"/>
    <w:rsid w:val="00190D5A"/>
    <w:rsid w:val="00193680"/>
    <w:rsid w:val="001979B5"/>
    <w:rsid w:val="001A5F7C"/>
    <w:rsid w:val="001C1FAD"/>
    <w:rsid w:val="001D00FA"/>
    <w:rsid w:val="002050F5"/>
    <w:rsid w:val="00205580"/>
    <w:rsid w:val="00244056"/>
    <w:rsid w:val="00260382"/>
    <w:rsid w:val="00266CB4"/>
    <w:rsid w:val="002841AE"/>
    <w:rsid w:val="00292521"/>
    <w:rsid w:val="00295B34"/>
    <w:rsid w:val="002A5D69"/>
    <w:rsid w:val="002B2564"/>
    <w:rsid w:val="002C0D5D"/>
    <w:rsid w:val="002C384E"/>
    <w:rsid w:val="002C6ABE"/>
    <w:rsid w:val="002D14E3"/>
    <w:rsid w:val="00360248"/>
    <w:rsid w:val="00366854"/>
    <w:rsid w:val="00366A46"/>
    <w:rsid w:val="00374651"/>
    <w:rsid w:val="0038176F"/>
    <w:rsid w:val="003B25B8"/>
    <w:rsid w:val="003C1304"/>
    <w:rsid w:val="003E3F9D"/>
    <w:rsid w:val="003F19C9"/>
    <w:rsid w:val="003F7681"/>
    <w:rsid w:val="00412A51"/>
    <w:rsid w:val="00416F55"/>
    <w:rsid w:val="004349BA"/>
    <w:rsid w:val="004365C7"/>
    <w:rsid w:val="00440A58"/>
    <w:rsid w:val="00453F64"/>
    <w:rsid w:val="00473116"/>
    <w:rsid w:val="0048530A"/>
    <w:rsid w:val="00486DB1"/>
    <w:rsid w:val="00493E10"/>
    <w:rsid w:val="005003F9"/>
    <w:rsid w:val="00511DF5"/>
    <w:rsid w:val="00523E0D"/>
    <w:rsid w:val="0052710E"/>
    <w:rsid w:val="005442FC"/>
    <w:rsid w:val="00552455"/>
    <w:rsid w:val="00565D0F"/>
    <w:rsid w:val="0058227B"/>
    <w:rsid w:val="005973FD"/>
    <w:rsid w:val="00597C68"/>
    <w:rsid w:val="005D7272"/>
    <w:rsid w:val="005F1EBD"/>
    <w:rsid w:val="005F2282"/>
    <w:rsid w:val="0062366C"/>
    <w:rsid w:val="00633D4E"/>
    <w:rsid w:val="0063526F"/>
    <w:rsid w:val="00637E86"/>
    <w:rsid w:val="00641522"/>
    <w:rsid w:val="006439FA"/>
    <w:rsid w:val="006464C7"/>
    <w:rsid w:val="00674484"/>
    <w:rsid w:val="00677D27"/>
    <w:rsid w:val="006A2A17"/>
    <w:rsid w:val="006A4A7A"/>
    <w:rsid w:val="006B0848"/>
    <w:rsid w:val="006C34AE"/>
    <w:rsid w:val="006F678C"/>
    <w:rsid w:val="00701A8C"/>
    <w:rsid w:val="007039EC"/>
    <w:rsid w:val="00741B24"/>
    <w:rsid w:val="0074489D"/>
    <w:rsid w:val="007514AD"/>
    <w:rsid w:val="0077487B"/>
    <w:rsid w:val="007D6EC8"/>
    <w:rsid w:val="007F5CA8"/>
    <w:rsid w:val="00813386"/>
    <w:rsid w:val="0081753E"/>
    <w:rsid w:val="008175D7"/>
    <w:rsid w:val="00821AEC"/>
    <w:rsid w:val="0085010E"/>
    <w:rsid w:val="008528B6"/>
    <w:rsid w:val="00857B2D"/>
    <w:rsid w:val="008867EA"/>
    <w:rsid w:val="00896985"/>
    <w:rsid w:val="008C3A5F"/>
    <w:rsid w:val="008D5771"/>
    <w:rsid w:val="00917291"/>
    <w:rsid w:val="009305C5"/>
    <w:rsid w:val="00940E8F"/>
    <w:rsid w:val="009450B8"/>
    <w:rsid w:val="009652F2"/>
    <w:rsid w:val="00997528"/>
    <w:rsid w:val="009A2FE3"/>
    <w:rsid w:val="009E1C7D"/>
    <w:rsid w:val="00A13244"/>
    <w:rsid w:val="00A239AA"/>
    <w:rsid w:val="00A439E8"/>
    <w:rsid w:val="00A73A4F"/>
    <w:rsid w:val="00A77DA2"/>
    <w:rsid w:val="00A935A7"/>
    <w:rsid w:val="00AA5C82"/>
    <w:rsid w:val="00AB34B5"/>
    <w:rsid w:val="00AC3205"/>
    <w:rsid w:val="00AE2923"/>
    <w:rsid w:val="00AF6FCE"/>
    <w:rsid w:val="00B40CFD"/>
    <w:rsid w:val="00B41502"/>
    <w:rsid w:val="00B44E79"/>
    <w:rsid w:val="00B51024"/>
    <w:rsid w:val="00B60F9C"/>
    <w:rsid w:val="00B6769E"/>
    <w:rsid w:val="00BA26F7"/>
    <w:rsid w:val="00BD0481"/>
    <w:rsid w:val="00BE2623"/>
    <w:rsid w:val="00BE68EE"/>
    <w:rsid w:val="00BE6E13"/>
    <w:rsid w:val="00C15EB0"/>
    <w:rsid w:val="00C27366"/>
    <w:rsid w:val="00C63AA8"/>
    <w:rsid w:val="00C7783C"/>
    <w:rsid w:val="00CB1AE6"/>
    <w:rsid w:val="00CB3ED4"/>
    <w:rsid w:val="00D07AAB"/>
    <w:rsid w:val="00D1323F"/>
    <w:rsid w:val="00D17769"/>
    <w:rsid w:val="00D177FC"/>
    <w:rsid w:val="00D30392"/>
    <w:rsid w:val="00D47CCF"/>
    <w:rsid w:val="00D6457B"/>
    <w:rsid w:val="00D71A41"/>
    <w:rsid w:val="00D73A4B"/>
    <w:rsid w:val="00D81546"/>
    <w:rsid w:val="00DB7889"/>
    <w:rsid w:val="00DC0C83"/>
    <w:rsid w:val="00DC7E7A"/>
    <w:rsid w:val="00DD34A3"/>
    <w:rsid w:val="00DF0D58"/>
    <w:rsid w:val="00DF782B"/>
    <w:rsid w:val="00E03AEF"/>
    <w:rsid w:val="00E42093"/>
    <w:rsid w:val="00E45C2C"/>
    <w:rsid w:val="00E4645C"/>
    <w:rsid w:val="00E64103"/>
    <w:rsid w:val="00E960BB"/>
    <w:rsid w:val="00EA755E"/>
    <w:rsid w:val="00F0594B"/>
    <w:rsid w:val="00F21EAC"/>
    <w:rsid w:val="00F240AC"/>
    <w:rsid w:val="00F960CF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3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plik=22633" TargetMode="External"/><Relationship Id="rId13" Type="http://schemas.openxmlformats.org/officeDocument/2006/relationships/hyperlink" Target="https://www.uokik.gov.pl/download.php?plik=20765" TargetMode="External"/><Relationship Id="rId18" Type="http://schemas.openxmlformats.org/officeDocument/2006/relationships/hyperlink" Target="https://www.uokik.gov.pl/download.php?plik=22131" TargetMode="External"/><Relationship Id="rId26" Type="http://schemas.openxmlformats.org/officeDocument/2006/relationships/hyperlink" Target="mailto:malgorzata.cieloch@uokik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okik.gov.pl/download.php?plik=22128" TargetMode="External"/><Relationship Id="rId7" Type="http://schemas.openxmlformats.org/officeDocument/2006/relationships/hyperlink" Target="https://uokik.gov.pl/aktualnosci.php?news_id=12923" TargetMode="External"/><Relationship Id="rId12" Type="http://schemas.openxmlformats.org/officeDocument/2006/relationships/hyperlink" Target="https://www.uokik.gov.pl/download.php?plik=20762" TargetMode="External"/><Relationship Id="rId17" Type="http://schemas.openxmlformats.org/officeDocument/2006/relationships/hyperlink" Target="https://www.uokik.gov.pl/download.php?plik=22127" TargetMode="External"/><Relationship Id="rId25" Type="http://schemas.openxmlformats.org/officeDocument/2006/relationships/hyperlink" Target="https://rf.gov.pl/kontak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okik.gov.pl/download.php?plik=22129" TargetMode="External"/><Relationship Id="rId20" Type="http://schemas.openxmlformats.org/officeDocument/2006/relationships/hyperlink" Target="https://www.uokik.gov.pl/download.php?plik=2213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download.php?plik=19792" TargetMode="External"/><Relationship Id="rId24" Type="http://schemas.openxmlformats.org/officeDocument/2006/relationships/hyperlink" Target="https://uokik.gov.pl/pomoc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okik.gov.pl/download.php?plik=22130" TargetMode="External"/><Relationship Id="rId23" Type="http://schemas.openxmlformats.org/officeDocument/2006/relationships/hyperlink" Target="http://www.federacja-konsumentow.org.pl/63,tu-znajdziesz-pomoc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okik.gov.pl/download.php?plik=22634" TargetMode="External"/><Relationship Id="rId19" Type="http://schemas.openxmlformats.org/officeDocument/2006/relationships/hyperlink" Target="https://www.uokik.gov.pl/download.php?plik=22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plik=22635" TargetMode="External"/><Relationship Id="rId14" Type="http://schemas.openxmlformats.org/officeDocument/2006/relationships/hyperlink" Target="https://www.uokik.gov.pl/download.php?plik=20764" TargetMode="External"/><Relationship Id="rId22" Type="http://schemas.openxmlformats.org/officeDocument/2006/relationships/hyperlink" Target="mailto:porady@dlakonsumentow.p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8</cp:revision>
  <cp:lastPrinted>2018-10-31T10:46:00Z</cp:lastPrinted>
  <dcterms:created xsi:type="dcterms:W3CDTF">2018-10-24T11:42:00Z</dcterms:created>
  <dcterms:modified xsi:type="dcterms:W3CDTF">2018-11-08T09:05:00Z</dcterms:modified>
</cp:coreProperties>
</file>