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BF" w:rsidRPr="00B011BF" w:rsidRDefault="00F05594" w:rsidP="00F05594">
      <w:pPr>
        <w:widowControl w:val="0"/>
        <w:tabs>
          <w:tab w:val="left" w:pos="426"/>
        </w:tabs>
        <w:spacing w:line="360" w:lineRule="auto"/>
        <w:jc w:val="both"/>
        <w:rPr>
          <w:rFonts w:ascii="Trebuchet MS" w:hAnsi="Trebuchet MS"/>
          <w:bCs/>
          <w:color w:val="000000"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 xml:space="preserve">Artykuł </w:t>
      </w:r>
      <w:r w:rsidR="00B011BF" w:rsidRPr="005D3300">
        <w:rPr>
          <w:rFonts w:ascii="Trebuchet MS" w:hAnsi="Trebuchet MS"/>
          <w:b/>
          <w:bCs/>
          <w:color w:val="000000"/>
          <w:sz w:val="24"/>
          <w:szCs w:val="24"/>
        </w:rPr>
        <w:t>Rober</w:t>
      </w:r>
      <w:r>
        <w:rPr>
          <w:rFonts w:ascii="Trebuchet MS" w:hAnsi="Trebuchet MS"/>
          <w:b/>
          <w:bCs/>
          <w:color w:val="000000"/>
          <w:sz w:val="24"/>
          <w:szCs w:val="24"/>
        </w:rPr>
        <w:t>ta</w:t>
      </w:r>
      <w:r w:rsidR="00B011BF" w:rsidRPr="005D3300">
        <w:rPr>
          <w:rFonts w:ascii="Trebuchet MS" w:hAnsi="Trebuchet MS"/>
          <w:b/>
          <w:bCs/>
          <w:color w:val="000000"/>
          <w:sz w:val="24"/>
          <w:szCs w:val="24"/>
        </w:rPr>
        <w:t xml:space="preserve"> </w:t>
      </w:r>
      <w:proofErr w:type="spellStart"/>
      <w:r w:rsidR="00B011BF" w:rsidRPr="005D3300">
        <w:rPr>
          <w:rFonts w:ascii="Trebuchet MS" w:hAnsi="Trebuchet MS"/>
          <w:b/>
          <w:bCs/>
          <w:color w:val="000000"/>
          <w:sz w:val="24"/>
          <w:szCs w:val="24"/>
        </w:rPr>
        <w:t>Zenc</w:t>
      </w:r>
      <w:r>
        <w:rPr>
          <w:rFonts w:ascii="Trebuchet MS" w:hAnsi="Trebuchet MS"/>
          <w:b/>
          <w:bCs/>
          <w:color w:val="000000"/>
          <w:sz w:val="24"/>
          <w:szCs w:val="24"/>
        </w:rPr>
        <w:t>a</w:t>
      </w:r>
      <w:proofErr w:type="spellEnd"/>
      <w:r w:rsidR="00B011BF" w:rsidRPr="00B011BF">
        <w:rPr>
          <w:rFonts w:ascii="Trebuchet MS" w:hAnsi="Trebuchet MS"/>
          <w:bCs/>
          <w:color w:val="000000"/>
          <w:sz w:val="24"/>
          <w:szCs w:val="24"/>
        </w:rPr>
        <w:t>, naczelnik</w:t>
      </w:r>
      <w:r>
        <w:rPr>
          <w:rFonts w:ascii="Trebuchet MS" w:hAnsi="Trebuchet MS"/>
          <w:bCs/>
          <w:color w:val="000000"/>
          <w:sz w:val="24"/>
          <w:szCs w:val="24"/>
        </w:rPr>
        <w:t>a</w:t>
      </w:r>
      <w:r w:rsidR="00B011BF" w:rsidRPr="00B011BF">
        <w:rPr>
          <w:rFonts w:ascii="Trebuchet MS" w:hAnsi="Trebuchet MS"/>
          <w:bCs/>
          <w:color w:val="000000"/>
          <w:sz w:val="24"/>
          <w:szCs w:val="24"/>
        </w:rPr>
        <w:t xml:space="preserve"> wydziału Pomocy Regionalnej w Departamencie Monitorowania Pomocy Publicznej w UOKiK</w:t>
      </w:r>
      <w:r>
        <w:rPr>
          <w:rFonts w:ascii="Trebuchet MS" w:hAnsi="Trebuchet MS"/>
          <w:bCs/>
          <w:color w:val="000000"/>
          <w:sz w:val="24"/>
          <w:szCs w:val="24"/>
        </w:rPr>
        <w:t>, dla Dziennika Gazety Prawnej</w:t>
      </w:r>
    </w:p>
    <w:p w:rsidR="00B011BF" w:rsidRPr="00BE3F0D" w:rsidRDefault="00B011BF" w:rsidP="00BE3F0D">
      <w:pPr>
        <w:widowControl w:val="0"/>
        <w:tabs>
          <w:tab w:val="left" w:pos="426"/>
        </w:tabs>
        <w:spacing w:line="360" w:lineRule="auto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BE3F0D">
        <w:rPr>
          <w:rFonts w:ascii="Trebuchet MS" w:hAnsi="Trebuchet MS"/>
          <w:bCs/>
          <w:color w:val="000000"/>
          <w:sz w:val="32"/>
          <w:szCs w:val="32"/>
        </w:rPr>
        <w:t>NOWELIZACJA FORMULARZA INFORMACJI O POMOCY DE MINIMIS ORAZ WZORU ZAŚWIADCZENIA O POMOCY DE MINIMIS</w:t>
      </w:r>
    </w:p>
    <w:p w:rsidR="00B011BF" w:rsidRPr="00D465D4" w:rsidRDefault="00B011BF" w:rsidP="00BE3F0D">
      <w:pPr>
        <w:widowControl w:val="0"/>
        <w:tabs>
          <w:tab w:val="left" w:pos="426"/>
        </w:tabs>
        <w:spacing w:line="360" w:lineRule="auto"/>
        <w:jc w:val="both"/>
        <w:rPr>
          <w:rFonts w:ascii="Trebuchet MS" w:hAnsi="Trebuchet MS"/>
          <w:b/>
          <w:bCs/>
          <w:color w:val="000000"/>
        </w:rPr>
      </w:pPr>
      <w:r w:rsidRPr="00D465D4">
        <w:rPr>
          <w:rFonts w:ascii="Trebuchet MS" w:hAnsi="Trebuchet MS"/>
          <w:b/>
          <w:bCs/>
          <w:color w:val="000000"/>
        </w:rPr>
        <w:t>1</w:t>
      </w:r>
      <w:r w:rsidR="004868C9">
        <w:rPr>
          <w:rFonts w:ascii="Trebuchet MS" w:hAnsi="Trebuchet MS"/>
          <w:b/>
          <w:bCs/>
          <w:color w:val="000000"/>
        </w:rPr>
        <w:t>2</w:t>
      </w:r>
      <w:r w:rsidRPr="00D465D4">
        <w:rPr>
          <w:rFonts w:ascii="Trebuchet MS" w:hAnsi="Trebuchet MS"/>
          <w:b/>
          <w:bCs/>
          <w:color w:val="000000"/>
        </w:rPr>
        <w:t xml:space="preserve"> września br. Komitet Rady Ministrów przyjął nowelizacje 2 rozporządzeń, kluczowych z punktu widzenia przedsiębiorców ubiegających się o tzw. pomoc de </w:t>
      </w:r>
      <w:proofErr w:type="spellStart"/>
      <w:r w:rsidRPr="00D465D4">
        <w:rPr>
          <w:rFonts w:ascii="Trebuchet MS" w:hAnsi="Trebuchet MS"/>
          <w:b/>
          <w:bCs/>
          <w:color w:val="000000"/>
        </w:rPr>
        <w:t>minimis</w:t>
      </w:r>
      <w:proofErr w:type="spellEnd"/>
      <w:r w:rsidRPr="00D465D4">
        <w:rPr>
          <w:rFonts w:ascii="Trebuchet MS" w:hAnsi="Trebuchet MS"/>
          <w:b/>
          <w:bCs/>
          <w:color w:val="000000"/>
        </w:rPr>
        <w:t xml:space="preserve"> oraz organów, które takiej pomocy udzielają. Zmiany są zasadniczo skutkiem wprowadzonych w tym roku nowych unijnych przepisów dotyczących pomocy de </w:t>
      </w:r>
      <w:proofErr w:type="spellStart"/>
      <w:r w:rsidRPr="00D465D4">
        <w:rPr>
          <w:rFonts w:ascii="Trebuchet MS" w:hAnsi="Trebuchet MS"/>
          <w:b/>
          <w:bCs/>
          <w:color w:val="000000"/>
        </w:rPr>
        <w:t>minimis</w:t>
      </w:r>
      <w:proofErr w:type="spellEnd"/>
      <w:r w:rsidRPr="00D465D4">
        <w:rPr>
          <w:rFonts w:ascii="Trebuchet MS" w:hAnsi="Trebuchet MS"/>
          <w:b/>
          <w:bCs/>
          <w:color w:val="000000"/>
        </w:rPr>
        <w:t xml:space="preserve">.  </w:t>
      </w:r>
    </w:p>
    <w:p w:rsidR="00B011BF" w:rsidRPr="00CF51A2" w:rsidRDefault="00B011BF" w:rsidP="00BE3F0D">
      <w:pPr>
        <w:widowControl w:val="0"/>
        <w:tabs>
          <w:tab w:val="left" w:pos="426"/>
        </w:tabs>
        <w:spacing w:line="360" w:lineRule="auto"/>
        <w:jc w:val="both"/>
        <w:rPr>
          <w:rFonts w:ascii="Trebuchet MS" w:hAnsi="Trebuchet MS"/>
          <w:b/>
          <w:bCs/>
          <w:color w:val="000000"/>
        </w:rPr>
      </w:pPr>
      <w:r w:rsidRPr="00CF51A2">
        <w:rPr>
          <w:rFonts w:ascii="Trebuchet MS" w:hAnsi="Trebuchet MS"/>
          <w:b/>
          <w:bCs/>
          <w:color w:val="000000"/>
        </w:rPr>
        <w:t xml:space="preserve">Czym jest pomoc de </w:t>
      </w:r>
      <w:proofErr w:type="spellStart"/>
      <w:r w:rsidRPr="00CF51A2">
        <w:rPr>
          <w:rFonts w:ascii="Trebuchet MS" w:hAnsi="Trebuchet MS"/>
          <w:b/>
          <w:bCs/>
          <w:color w:val="000000"/>
        </w:rPr>
        <w:t>minimis</w:t>
      </w:r>
      <w:proofErr w:type="spellEnd"/>
      <w:r w:rsidRPr="00CF51A2">
        <w:rPr>
          <w:rFonts w:ascii="Trebuchet MS" w:hAnsi="Trebuchet MS"/>
          <w:b/>
          <w:bCs/>
          <w:color w:val="000000"/>
        </w:rPr>
        <w:t xml:space="preserve"> ?</w:t>
      </w:r>
    </w:p>
    <w:p w:rsidR="00B011BF" w:rsidRPr="00CF51A2" w:rsidRDefault="00B011BF" w:rsidP="00BE3F0D">
      <w:pPr>
        <w:widowControl w:val="0"/>
        <w:tabs>
          <w:tab w:val="left" w:pos="426"/>
        </w:tabs>
        <w:spacing w:line="360" w:lineRule="auto"/>
        <w:jc w:val="both"/>
        <w:rPr>
          <w:rFonts w:ascii="Trebuchet MS" w:hAnsi="Trebuchet MS"/>
          <w:bCs/>
          <w:color w:val="000000"/>
        </w:rPr>
      </w:pPr>
      <w:r w:rsidRPr="00CF51A2">
        <w:rPr>
          <w:rFonts w:ascii="Trebuchet MS" w:hAnsi="Trebuchet MS"/>
          <w:bCs/>
          <w:color w:val="000000"/>
        </w:rPr>
        <w:t xml:space="preserve">Pomoc de </w:t>
      </w:r>
      <w:proofErr w:type="spellStart"/>
      <w:r w:rsidRPr="00CF51A2">
        <w:rPr>
          <w:rFonts w:ascii="Trebuchet MS" w:hAnsi="Trebuchet MS"/>
          <w:bCs/>
          <w:color w:val="000000"/>
        </w:rPr>
        <w:t>minimis</w:t>
      </w:r>
      <w:proofErr w:type="spellEnd"/>
      <w:r w:rsidRPr="00CF51A2">
        <w:rPr>
          <w:rFonts w:ascii="Trebuchet MS" w:hAnsi="Trebuchet MS"/>
          <w:bCs/>
          <w:color w:val="000000"/>
        </w:rPr>
        <w:t xml:space="preserve"> to rodzaj wsparcia udzielanego przedsiębiorcom ze środków publicznych (np. budżetu </w:t>
      </w:r>
      <w:proofErr w:type="spellStart"/>
      <w:r w:rsidRPr="00CF51A2">
        <w:rPr>
          <w:rFonts w:ascii="Trebuchet MS" w:hAnsi="Trebuchet MS"/>
          <w:bCs/>
          <w:color w:val="000000"/>
        </w:rPr>
        <w:t>j.s.t</w:t>
      </w:r>
      <w:proofErr w:type="spellEnd"/>
      <w:r w:rsidRPr="00CF51A2">
        <w:rPr>
          <w:rFonts w:ascii="Trebuchet MS" w:hAnsi="Trebuchet MS"/>
          <w:bCs/>
          <w:color w:val="000000"/>
        </w:rPr>
        <w:t xml:space="preserve">., funduszy unijnych), którego maksymalna wielkość z różnych źródeł nie może przekroczyć kwoty 200 tys. euro w okresie 3 kolejnych lat. W zależności od sektora próg ten może być nieco inny (zob. ramka).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B011BF" w:rsidRPr="00CF51A2" w:rsidTr="00BA7CC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F" w:rsidRPr="00CF51A2" w:rsidRDefault="00B011BF" w:rsidP="00BE3F0D">
            <w:pPr>
              <w:pStyle w:val="Dopoziomu1"/>
              <w:numPr>
                <w:ilvl w:val="1"/>
                <w:numId w:val="4"/>
              </w:numPr>
              <w:spacing w:before="120" w:line="360" w:lineRule="auto"/>
              <w:jc w:val="both"/>
              <w:rPr>
                <w:rFonts w:ascii="Trebuchet MS" w:eastAsia="SimSun" w:hAnsi="Trebuchet MS"/>
                <w:b w:val="0"/>
                <w:color w:val="auto"/>
                <w:sz w:val="22"/>
                <w:szCs w:val="22"/>
                <w:lang w:val="pl-PL"/>
              </w:rPr>
            </w:pPr>
            <w:r w:rsidRPr="00CF51A2">
              <w:rPr>
                <w:rFonts w:ascii="Trebuchet MS" w:eastAsia="SimSun" w:hAnsi="Trebuchet MS"/>
                <w:b w:val="0"/>
                <w:color w:val="auto"/>
                <w:sz w:val="22"/>
                <w:szCs w:val="22"/>
                <w:lang w:val="pl-PL"/>
              </w:rPr>
              <w:t xml:space="preserve">200 tys. </w:t>
            </w:r>
            <w:r w:rsidRPr="00CF51A2">
              <w:rPr>
                <w:rFonts w:ascii="Trebuchet MS" w:eastAsia="SimSun" w:hAnsi="Trebuchet MS"/>
                <w:b w:val="0"/>
                <w:bCs/>
                <w:sz w:val="22"/>
                <w:szCs w:val="22"/>
              </w:rPr>
              <w:t>€</w:t>
            </w:r>
            <w:r w:rsidRPr="00CF51A2">
              <w:rPr>
                <w:rFonts w:ascii="Trebuchet MS" w:eastAsia="SimSun" w:hAnsi="Trebuchet MS"/>
                <w:b w:val="0"/>
                <w:bCs/>
                <w:color w:val="auto"/>
                <w:sz w:val="22"/>
                <w:szCs w:val="22"/>
                <w:lang w:val="pl-PL"/>
              </w:rPr>
              <w:t xml:space="preserve"> – limit ogólny </w:t>
            </w:r>
          </w:p>
          <w:p w:rsidR="00B011BF" w:rsidRPr="00CF51A2" w:rsidRDefault="00B011BF" w:rsidP="00BE3F0D">
            <w:pPr>
              <w:pStyle w:val="Dopoziomu1"/>
              <w:numPr>
                <w:ilvl w:val="1"/>
                <w:numId w:val="4"/>
              </w:numPr>
              <w:spacing w:line="360" w:lineRule="auto"/>
              <w:jc w:val="both"/>
              <w:rPr>
                <w:rFonts w:ascii="Trebuchet MS" w:eastAsia="SimSun" w:hAnsi="Trebuchet MS"/>
                <w:b w:val="0"/>
                <w:color w:val="auto"/>
                <w:sz w:val="22"/>
                <w:szCs w:val="22"/>
                <w:lang w:val="pl-PL"/>
              </w:rPr>
            </w:pPr>
            <w:r w:rsidRPr="00CF51A2">
              <w:rPr>
                <w:rFonts w:ascii="Trebuchet MS" w:eastAsia="SimSun" w:hAnsi="Trebuchet MS"/>
                <w:b w:val="0"/>
                <w:color w:val="auto"/>
                <w:sz w:val="22"/>
                <w:szCs w:val="22"/>
                <w:lang w:val="pl-PL"/>
              </w:rPr>
              <w:t xml:space="preserve">100 tys. </w:t>
            </w:r>
            <w:r w:rsidRPr="00CF51A2">
              <w:rPr>
                <w:rFonts w:ascii="Trebuchet MS" w:eastAsia="SimSun" w:hAnsi="Trebuchet MS"/>
                <w:b w:val="0"/>
                <w:bCs/>
                <w:sz w:val="22"/>
                <w:szCs w:val="22"/>
              </w:rPr>
              <w:t>€</w:t>
            </w:r>
            <w:r w:rsidRPr="00CF51A2">
              <w:rPr>
                <w:rFonts w:ascii="Trebuchet MS" w:eastAsia="SimSun" w:hAnsi="Trebuchet MS"/>
                <w:b w:val="0"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  <w:r w:rsidRPr="00CF51A2">
              <w:rPr>
                <w:rFonts w:ascii="Trebuchet MS" w:eastAsia="SimSun" w:hAnsi="Trebuchet MS"/>
                <w:b w:val="0"/>
                <w:color w:val="auto"/>
                <w:sz w:val="22"/>
                <w:szCs w:val="22"/>
                <w:lang w:val="pl-PL"/>
              </w:rPr>
              <w:t xml:space="preserve">– sektor transportu drogowego towarów </w:t>
            </w:r>
          </w:p>
          <w:p w:rsidR="00B011BF" w:rsidRPr="00CF51A2" w:rsidRDefault="00B011BF" w:rsidP="00BE3F0D">
            <w:pPr>
              <w:pStyle w:val="Dopoziomu1"/>
              <w:numPr>
                <w:ilvl w:val="1"/>
                <w:numId w:val="4"/>
              </w:numPr>
              <w:spacing w:line="360" w:lineRule="auto"/>
              <w:jc w:val="both"/>
              <w:rPr>
                <w:rFonts w:ascii="Trebuchet MS" w:eastAsia="SimSun" w:hAnsi="Trebuchet MS"/>
                <w:b w:val="0"/>
                <w:color w:val="auto"/>
                <w:sz w:val="22"/>
                <w:szCs w:val="22"/>
                <w:lang w:val="pl-PL"/>
              </w:rPr>
            </w:pPr>
            <w:r w:rsidRPr="00CF51A2">
              <w:rPr>
                <w:rFonts w:ascii="Trebuchet MS" w:eastAsia="SimSun" w:hAnsi="Trebuchet MS"/>
                <w:b w:val="0"/>
                <w:color w:val="auto"/>
                <w:sz w:val="22"/>
                <w:szCs w:val="22"/>
                <w:lang w:val="pl-PL"/>
              </w:rPr>
              <w:t xml:space="preserve">15 tys. </w:t>
            </w:r>
            <w:r w:rsidRPr="00CF51A2">
              <w:rPr>
                <w:rFonts w:ascii="Trebuchet MS" w:eastAsia="SimSun" w:hAnsi="Trebuchet MS"/>
                <w:b w:val="0"/>
                <w:bCs/>
                <w:sz w:val="22"/>
                <w:szCs w:val="22"/>
              </w:rPr>
              <w:t>€</w:t>
            </w:r>
            <w:r w:rsidRPr="00CF51A2">
              <w:rPr>
                <w:rFonts w:ascii="Trebuchet MS" w:eastAsia="SimSun" w:hAnsi="Trebuchet MS"/>
                <w:b w:val="0"/>
                <w:color w:val="auto"/>
                <w:sz w:val="22"/>
                <w:szCs w:val="22"/>
                <w:lang w:val="pl-PL"/>
              </w:rPr>
              <w:t xml:space="preserve"> – sektor produkcji rolnej </w:t>
            </w:r>
          </w:p>
          <w:p w:rsidR="00B011BF" w:rsidRPr="00CF51A2" w:rsidRDefault="00B011BF" w:rsidP="00BE3F0D">
            <w:pPr>
              <w:pStyle w:val="Dopoziomu1"/>
              <w:numPr>
                <w:ilvl w:val="1"/>
                <w:numId w:val="4"/>
              </w:numPr>
              <w:spacing w:line="360" w:lineRule="auto"/>
              <w:jc w:val="both"/>
              <w:rPr>
                <w:rFonts w:ascii="Trebuchet MS" w:eastAsia="SimSun" w:hAnsi="Trebuchet MS"/>
                <w:b w:val="0"/>
                <w:color w:val="auto"/>
                <w:sz w:val="22"/>
                <w:szCs w:val="22"/>
                <w:lang w:val="pl-PL"/>
              </w:rPr>
            </w:pPr>
            <w:r w:rsidRPr="00CF51A2">
              <w:rPr>
                <w:rFonts w:ascii="Trebuchet MS" w:eastAsia="SimSun" w:hAnsi="Trebuchet MS"/>
                <w:b w:val="0"/>
                <w:color w:val="auto"/>
                <w:sz w:val="22"/>
                <w:szCs w:val="22"/>
                <w:lang w:val="pl-PL"/>
              </w:rPr>
              <w:t xml:space="preserve">30 tys. </w:t>
            </w:r>
            <w:r w:rsidRPr="00CF51A2">
              <w:rPr>
                <w:rFonts w:ascii="Trebuchet MS" w:eastAsia="SimSun" w:hAnsi="Trebuchet MS"/>
                <w:b w:val="0"/>
                <w:bCs/>
                <w:sz w:val="22"/>
                <w:szCs w:val="22"/>
              </w:rPr>
              <w:t>€</w:t>
            </w:r>
            <w:r w:rsidRPr="00CF51A2">
              <w:rPr>
                <w:rFonts w:ascii="Trebuchet MS" w:eastAsia="SimSun" w:hAnsi="Trebuchet MS"/>
                <w:b w:val="0"/>
                <w:bCs/>
                <w:color w:val="auto"/>
                <w:sz w:val="22"/>
                <w:szCs w:val="22"/>
                <w:lang w:val="pl-PL"/>
              </w:rPr>
              <w:t xml:space="preserve"> – </w:t>
            </w:r>
            <w:r w:rsidRPr="00CF51A2">
              <w:rPr>
                <w:rFonts w:ascii="Trebuchet MS" w:eastAsia="SimSun" w:hAnsi="Trebuchet MS"/>
                <w:b w:val="0"/>
                <w:color w:val="auto"/>
                <w:sz w:val="22"/>
                <w:szCs w:val="22"/>
                <w:lang w:val="pl-PL"/>
              </w:rPr>
              <w:t xml:space="preserve">sektor rybołówstwa </w:t>
            </w:r>
          </w:p>
          <w:p w:rsidR="00B011BF" w:rsidRPr="00CF51A2" w:rsidRDefault="00B011BF" w:rsidP="00BE3F0D">
            <w:pPr>
              <w:pStyle w:val="Dopoziomu1"/>
              <w:numPr>
                <w:ilvl w:val="1"/>
                <w:numId w:val="4"/>
              </w:numPr>
              <w:spacing w:after="120" w:line="360" w:lineRule="auto"/>
              <w:jc w:val="both"/>
              <w:rPr>
                <w:rFonts w:ascii="Trebuchet MS" w:eastAsia="SimSun" w:hAnsi="Trebuchet MS"/>
                <w:b w:val="0"/>
                <w:color w:val="auto"/>
                <w:sz w:val="22"/>
                <w:szCs w:val="22"/>
                <w:lang w:val="pl-PL"/>
              </w:rPr>
            </w:pPr>
            <w:r w:rsidRPr="00CF51A2">
              <w:rPr>
                <w:rFonts w:ascii="Trebuchet MS" w:eastAsia="SimSun" w:hAnsi="Trebuchet MS"/>
                <w:b w:val="0"/>
                <w:color w:val="auto"/>
                <w:sz w:val="22"/>
                <w:szCs w:val="22"/>
                <w:lang w:val="pl-PL"/>
              </w:rPr>
              <w:t xml:space="preserve">500 tys. </w:t>
            </w:r>
            <w:r w:rsidRPr="00CF51A2">
              <w:rPr>
                <w:rFonts w:ascii="Trebuchet MS" w:eastAsia="SimSun" w:hAnsi="Trebuchet MS"/>
                <w:b w:val="0"/>
                <w:sz w:val="22"/>
                <w:szCs w:val="22"/>
              </w:rPr>
              <w:t>€ – usługi świadczone w ogólnym interesie gospodarczym (np. opieka zdrowotna, gospodarka komunalna, transport publiczny, itp.)</w:t>
            </w:r>
            <w:r w:rsidRPr="00CF51A2">
              <w:rPr>
                <w:rFonts w:ascii="Trebuchet MS" w:eastAsia="SimSun" w:hAnsi="Trebuchet MS"/>
                <w:sz w:val="22"/>
                <w:szCs w:val="22"/>
              </w:rPr>
              <w:t xml:space="preserve"> </w:t>
            </w:r>
          </w:p>
        </w:tc>
      </w:tr>
    </w:tbl>
    <w:p w:rsidR="00B011BF" w:rsidRPr="00CF51A2" w:rsidRDefault="00B011BF" w:rsidP="00BE3F0D">
      <w:pPr>
        <w:spacing w:line="360" w:lineRule="auto"/>
        <w:jc w:val="both"/>
        <w:rPr>
          <w:rFonts w:ascii="Trebuchet MS" w:hAnsi="Trebuchet MS"/>
        </w:rPr>
      </w:pPr>
    </w:p>
    <w:p w:rsidR="00B011BF" w:rsidRPr="00CF51A2" w:rsidRDefault="00B011BF" w:rsidP="00BE3F0D">
      <w:pPr>
        <w:spacing w:line="360" w:lineRule="auto"/>
        <w:jc w:val="both"/>
        <w:rPr>
          <w:rFonts w:ascii="Trebuchet MS" w:hAnsi="Trebuchet MS"/>
          <w:b/>
        </w:rPr>
      </w:pPr>
      <w:r w:rsidRPr="00CF51A2">
        <w:rPr>
          <w:rFonts w:ascii="Trebuchet MS" w:hAnsi="Trebuchet MS"/>
          <w:b/>
        </w:rPr>
        <w:t xml:space="preserve">Pomoc de </w:t>
      </w:r>
      <w:proofErr w:type="spellStart"/>
      <w:r w:rsidRPr="00CF51A2">
        <w:rPr>
          <w:rFonts w:ascii="Trebuchet MS" w:hAnsi="Trebuchet MS"/>
          <w:b/>
        </w:rPr>
        <w:t>minimis</w:t>
      </w:r>
      <w:proofErr w:type="spellEnd"/>
      <w:r w:rsidRPr="00CF51A2">
        <w:rPr>
          <w:rFonts w:ascii="Trebuchet MS" w:hAnsi="Trebuchet MS"/>
          <w:b/>
        </w:rPr>
        <w:t xml:space="preserve"> w Polsce</w:t>
      </w:r>
    </w:p>
    <w:p w:rsidR="00B011BF" w:rsidRPr="00CF51A2" w:rsidRDefault="00B011BF" w:rsidP="00BE3F0D">
      <w:pPr>
        <w:pStyle w:val="Tekstpodstawowywcity3"/>
        <w:tabs>
          <w:tab w:val="left" w:pos="540"/>
        </w:tabs>
        <w:spacing w:after="0" w:line="360" w:lineRule="auto"/>
        <w:ind w:left="0"/>
        <w:jc w:val="both"/>
        <w:rPr>
          <w:rFonts w:ascii="Trebuchet MS" w:hAnsi="Trebuchet MS"/>
          <w:sz w:val="22"/>
          <w:szCs w:val="22"/>
        </w:rPr>
      </w:pPr>
      <w:r w:rsidRPr="00CF51A2">
        <w:rPr>
          <w:rFonts w:ascii="Trebuchet MS" w:hAnsi="Trebuchet MS"/>
          <w:sz w:val="22"/>
          <w:szCs w:val="22"/>
        </w:rPr>
        <w:t>Zgodnie z opracowanym przez UOKiK raportem</w:t>
      </w:r>
      <w:r w:rsidRPr="00CF51A2">
        <w:rPr>
          <w:rStyle w:val="Odwoanieprzypisudolnego"/>
          <w:rFonts w:ascii="Trebuchet MS" w:hAnsi="Trebuchet MS"/>
          <w:sz w:val="22"/>
          <w:szCs w:val="22"/>
        </w:rPr>
        <w:footnoteReference w:id="1"/>
      </w:r>
      <w:r w:rsidRPr="00CF51A2">
        <w:rPr>
          <w:rFonts w:ascii="Trebuchet MS" w:hAnsi="Trebuchet MS"/>
          <w:sz w:val="22"/>
          <w:szCs w:val="22"/>
        </w:rPr>
        <w:t xml:space="preserve">, w roku ubiegłym z pomocy de </w:t>
      </w:r>
      <w:proofErr w:type="spellStart"/>
      <w:r w:rsidRPr="00CF51A2">
        <w:rPr>
          <w:rFonts w:ascii="Trebuchet MS" w:hAnsi="Trebuchet MS"/>
          <w:sz w:val="22"/>
          <w:szCs w:val="22"/>
        </w:rPr>
        <w:t>minimis</w:t>
      </w:r>
      <w:proofErr w:type="spellEnd"/>
      <w:r w:rsidRPr="00CF51A2">
        <w:rPr>
          <w:rFonts w:ascii="Trebuchet MS" w:hAnsi="Trebuchet MS"/>
          <w:sz w:val="22"/>
          <w:szCs w:val="22"/>
        </w:rPr>
        <w:t xml:space="preserve"> skorzystało kilkaset tysięcy przedsiębiorców, a średnia jej wielkość przypadająca na jednego beneficjenta wyniosła 25 tys. zł. Najwięcej pomocy de </w:t>
      </w:r>
      <w:proofErr w:type="spellStart"/>
      <w:r w:rsidRPr="00CF51A2">
        <w:rPr>
          <w:rFonts w:ascii="Trebuchet MS" w:hAnsi="Trebuchet MS"/>
          <w:sz w:val="22"/>
          <w:szCs w:val="22"/>
        </w:rPr>
        <w:t>minimis</w:t>
      </w:r>
      <w:proofErr w:type="spellEnd"/>
      <w:r w:rsidRPr="00CF51A2">
        <w:rPr>
          <w:rFonts w:ascii="Trebuchet MS" w:hAnsi="Trebuchet MS"/>
          <w:sz w:val="22"/>
          <w:szCs w:val="22"/>
        </w:rPr>
        <w:t xml:space="preserve"> w 2013 r. </w:t>
      </w:r>
      <w:r w:rsidRPr="00CF51A2">
        <w:rPr>
          <w:rFonts w:ascii="Trebuchet MS" w:hAnsi="Trebuchet MS"/>
          <w:sz w:val="22"/>
          <w:szCs w:val="22"/>
        </w:rPr>
        <w:lastRenderedPageBreak/>
        <w:t xml:space="preserve">udzielono w oparciu o ustawę o promocji zatrudnienia i instytucjach rynku pracy oraz ze środków unijnych. </w:t>
      </w:r>
    </w:p>
    <w:p w:rsidR="00B011BF" w:rsidRPr="00B011BF" w:rsidRDefault="00B011BF" w:rsidP="00BE3F0D">
      <w:pPr>
        <w:pStyle w:val="Tekstpodstawowywcity3"/>
        <w:tabs>
          <w:tab w:val="left" w:pos="540"/>
        </w:tabs>
        <w:spacing w:after="0" w:line="360" w:lineRule="auto"/>
        <w:ind w:left="0"/>
        <w:jc w:val="both"/>
        <w:rPr>
          <w:rFonts w:ascii="Trebuchet MS" w:hAnsi="Trebuchet MS"/>
          <w:sz w:val="24"/>
          <w:szCs w:val="24"/>
        </w:rPr>
      </w:pPr>
    </w:p>
    <w:p w:rsidR="00B011BF" w:rsidRPr="00B011BF" w:rsidRDefault="00B011BF" w:rsidP="00BE3F0D">
      <w:pPr>
        <w:pStyle w:val="Tekstpodstawowywcity3"/>
        <w:tabs>
          <w:tab w:val="left" w:pos="540"/>
        </w:tabs>
        <w:spacing w:after="0" w:line="360" w:lineRule="auto"/>
        <w:ind w:left="0"/>
        <w:jc w:val="both"/>
        <w:rPr>
          <w:rFonts w:ascii="Trebuchet MS" w:hAnsi="Trebuchet MS"/>
          <w:b/>
          <w:sz w:val="24"/>
          <w:szCs w:val="24"/>
        </w:rPr>
      </w:pPr>
      <w:r w:rsidRPr="00B011BF">
        <w:rPr>
          <w:rFonts w:ascii="Trebuchet MS" w:hAnsi="Trebuchet MS"/>
          <w:b/>
          <w:sz w:val="24"/>
          <w:szCs w:val="24"/>
        </w:rPr>
        <w:t xml:space="preserve">Obowiązki związane z pomocą de </w:t>
      </w:r>
      <w:proofErr w:type="spellStart"/>
      <w:r w:rsidRPr="00B011BF">
        <w:rPr>
          <w:rFonts w:ascii="Trebuchet MS" w:hAnsi="Trebuchet MS"/>
          <w:b/>
          <w:sz w:val="24"/>
          <w:szCs w:val="24"/>
        </w:rPr>
        <w:t>minimis</w:t>
      </w:r>
      <w:proofErr w:type="spellEnd"/>
    </w:p>
    <w:p w:rsidR="00B011BF" w:rsidRPr="00B011BF" w:rsidRDefault="00B011BF" w:rsidP="00BE3F0D">
      <w:pPr>
        <w:pStyle w:val="Tekstpodstawowywcity3"/>
        <w:tabs>
          <w:tab w:val="left" w:pos="540"/>
        </w:tabs>
        <w:spacing w:after="0" w:line="360" w:lineRule="auto"/>
        <w:ind w:left="0"/>
        <w:jc w:val="both"/>
        <w:rPr>
          <w:rFonts w:ascii="Trebuchet MS" w:hAnsi="Trebuchet MS"/>
          <w:sz w:val="24"/>
          <w:szCs w:val="24"/>
        </w:rPr>
      </w:pPr>
    </w:p>
    <w:p w:rsidR="00B011BF" w:rsidRPr="00B011BF" w:rsidRDefault="00B011BF" w:rsidP="00BE3F0D">
      <w:pPr>
        <w:pStyle w:val="Tekstpodstawowywcity3"/>
        <w:tabs>
          <w:tab w:val="left" w:pos="540"/>
        </w:tabs>
        <w:spacing w:after="0" w:line="360" w:lineRule="auto"/>
        <w:ind w:left="0"/>
        <w:jc w:val="both"/>
        <w:rPr>
          <w:rFonts w:ascii="Trebuchet MS" w:hAnsi="Trebuchet MS"/>
          <w:sz w:val="24"/>
          <w:szCs w:val="24"/>
        </w:rPr>
      </w:pPr>
      <w:r w:rsidRPr="00CF51A2">
        <w:rPr>
          <w:rFonts w:ascii="Trebuchet MS" w:hAnsi="Trebuchet MS"/>
          <w:sz w:val="22"/>
          <w:szCs w:val="22"/>
        </w:rPr>
        <w:t xml:space="preserve">Udzielanie pomocy de </w:t>
      </w:r>
      <w:proofErr w:type="spellStart"/>
      <w:r w:rsidRPr="00CF51A2">
        <w:rPr>
          <w:rFonts w:ascii="Trebuchet MS" w:hAnsi="Trebuchet MS"/>
          <w:sz w:val="22"/>
          <w:szCs w:val="22"/>
        </w:rPr>
        <w:t>minimis</w:t>
      </w:r>
      <w:proofErr w:type="spellEnd"/>
      <w:r w:rsidRPr="00CF51A2">
        <w:rPr>
          <w:rFonts w:ascii="Trebuchet MS" w:hAnsi="Trebuchet MS"/>
          <w:sz w:val="22"/>
          <w:szCs w:val="22"/>
        </w:rPr>
        <w:t xml:space="preserve"> wiąże się z określonymi obowiązkami zarówno po stronie przedsiębiorcy, jak i organu ją przyznającego. Ze strony wnioskodawcy jest nim przedłożenie informacji o uzyskanej w roku bieżącym i 2 poprzednich latach pomocy de </w:t>
      </w:r>
      <w:proofErr w:type="spellStart"/>
      <w:r w:rsidRPr="00CF51A2">
        <w:rPr>
          <w:rFonts w:ascii="Trebuchet MS" w:hAnsi="Trebuchet MS"/>
          <w:sz w:val="22"/>
          <w:szCs w:val="22"/>
        </w:rPr>
        <w:t>minimis</w:t>
      </w:r>
      <w:proofErr w:type="spellEnd"/>
      <w:r w:rsidRPr="00CF51A2">
        <w:rPr>
          <w:rFonts w:ascii="Trebuchet MS" w:hAnsi="Trebuchet MS"/>
          <w:sz w:val="22"/>
          <w:szCs w:val="22"/>
        </w:rPr>
        <w:t xml:space="preserve"> (aby organ mógł zweryfikować limit pozostały do wyczerpania) oraz formularza informacji, będącego załącznikiem do rozporządzenia RM</w:t>
      </w:r>
      <w:r w:rsidRPr="00CF51A2">
        <w:rPr>
          <w:rStyle w:val="Odwoanieprzypisudolnego"/>
          <w:rFonts w:ascii="Trebuchet MS" w:hAnsi="Trebuchet MS"/>
          <w:sz w:val="22"/>
          <w:szCs w:val="22"/>
        </w:rPr>
        <w:footnoteReference w:id="2"/>
      </w:r>
      <w:r w:rsidRPr="00CF51A2">
        <w:rPr>
          <w:rFonts w:ascii="Trebuchet MS" w:hAnsi="Trebuchet MS"/>
          <w:sz w:val="22"/>
          <w:szCs w:val="22"/>
        </w:rPr>
        <w:t xml:space="preserve">, który pozwala ocenić organowi, czy pomoc ta jest w świetle prawa unijnego w ogóle dopuszczalna. Z kolei podmiot, który jej udzieli jest zobowiązany do potwierdzenia tego faktu, wydając przedsiębiorcy zaświadczenie o pomocy de </w:t>
      </w:r>
      <w:proofErr w:type="spellStart"/>
      <w:r w:rsidRPr="00CF51A2">
        <w:rPr>
          <w:rFonts w:ascii="Trebuchet MS" w:hAnsi="Trebuchet MS"/>
          <w:sz w:val="22"/>
          <w:szCs w:val="22"/>
        </w:rPr>
        <w:t>minimis</w:t>
      </w:r>
      <w:proofErr w:type="spellEnd"/>
      <w:r w:rsidRPr="00CF51A2">
        <w:rPr>
          <w:rFonts w:ascii="Trebuchet MS" w:hAnsi="Trebuchet MS"/>
          <w:sz w:val="22"/>
          <w:szCs w:val="22"/>
        </w:rPr>
        <w:t xml:space="preserve"> na druku stanowiącym załącznik do rozporządzenia RM</w:t>
      </w:r>
      <w:r w:rsidRPr="00CF51A2">
        <w:rPr>
          <w:rStyle w:val="Odwoanieprzypisudolnego"/>
          <w:rFonts w:ascii="Trebuchet MS" w:hAnsi="Trebuchet MS"/>
          <w:sz w:val="22"/>
          <w:szCs w:val="22"/>
        </w:rPr>
        <w:footnoteReference w:id="3"/>
      </w:r>
      <w:r w:rsidRPr="00CF51A2">
        <w:rPr>
          <w:rFonts w:ascii="Trebuchet MS" w:hAnsi="Trebuchet MS"/>
          <w:sz w:val="22"/>
          <w:szCs w:val="22"/>
        </w:rPr>
        <w:t>. I właśnie oba te wzory są przedmiotem nowelizacji dostosowującej ich treść do nowych przepisów unijnych</w:t>
      </w:r>
      <w:r w:rsidRPr="00B011BF">
        <w:rPr>
          <w:rFonts w:ascii="Trebuchet MS" w:hAnsi="Trebuchet MS"/>
          <w:sz w:val="24"/>
          <w:szCs w:val="24"/>
        </w:rPr>
        <w:t xml:space="preserve">.  </w:t>
      </w:r>
    </w:p>
    <w:p w:rsidR="00B011BF" w:rsidRPr="00B011BF" w:rsidRDefault="00B011BF" w:rsidP="00BE3F0D">
      <w:pPr>
        <w:pStyle w:val="Tekstpodstawowywcity3"/>
        <w:tabs>
          <w:tab w:val="left" w:pos="540"/>
        </w:tabs>
        <w:spacing w:after="0" w:line="360" w:lineRule="auto"/>
        <w:ind w:left="0"/>
        <w:jc w:val="both"/>
        <w:rPr>
          <w:rFonts w:ascii="Trebuchet MS" w:hAnsi="Trebuchet MS"/>
          <w:sz w:val="24"/>
          <w:szCs w:val="24"/>
        </w:rPr>
      </w:pPr>
    </w:p>
    <w:p w:rsidR="00B011BF" w:rsidRPr="00B011BF" w:rsidRDefault="00B011BF" w:rsidP="00BE3F0D">
      <w:pPr>
        <w:widowControl w:val="0"/>
        <w:tabs>
          <w:tab w:val="left" w:pos="426"/>
        </w:tabs>
        <w:spacing w:line="360" w:lineRule="auto"/>
        <w:jc w:val="both"/>
        <w:rPr>
          <w:rFonts w:ascii="Trebuchet MS" w:hAnsi="Trebuchet MS"/>
          <w:b/>
        </w:rPr>
      </w:pPr>
      <w:r w:rsidRPr="00B011BF">
        <w:rPr>
          <w:rFonts w:ascii="Trebuchet MS" w:hAnsi="Trebuchet MS"/>
          <w:b/>
        </w:rPr>
        <w:t>Najistotniejsze zmiany f</w:t>
      </w:r>
      <w:r w:rsidRPr="00B011BF">
        <w:rPr>
          <w:rFonts w:ascii="Trebuchet MS" w:hAnsi="Trebuchet MS"/>
          <w:b/>
          <w:bCs/>
          <w:color w:val="000000"/>
        </w:rPr>
        <w:t xml:space="preserve">ormularza informacji o pomocy de </w:t>
      </w:r>
      <w:proofErr w:type="spellStart"/>
      <w:r w:rsidRPr="00B011BF">
        <w:rPr>
          <w:rFonts w:ascii="Trebuchet MS" w:hAnsi="Trebuchet MS"/>
          <w:b/>
          <w:bCs/>
          <w:color w:val="000000"/>
        </w:rPr>
        <w:t>minimis</w:t>
      </w:r>
      <w:proofErr w:type="spellEnd"/>
      <w:r w:rsidRPr="00B011BF">
        <w:rPr>
          <w:rFonts w:ascii="Trebuchet MS" w:hAnsi="Trebuchet MS"/>
          <w:b/>
          <w:bCs/>
          <w:color w:val="000000"/>
        </w:rPr>
        <w:t>:</w:t>
      </w:r>
    </w:p>
    <w:p w:rsidR="00B011BF" w:rsidRPr="00B011BF" w:rsidRDefault="00B011BF" w:rsidP="00BE3F0D">
      <w:pPr>
        <w:widowControl w:val="0"/>
        <w:numPr>
          <w:ilvl w:val="0"/>
          <w:numId w:val="3"/>
        </w:num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</w:rPr>
      </w:pPr>
      <w:r w:rsidRPr="00B011BF">
        <w:rPr>
          <w:rFonts w:ascii="Trebuchet MS" w:hAnsi="Trebuchet MS"/>
        </w:rPr>
        <w:t xml:space="preserve">zobowiązanie wnioskodawców do składania informacji o </w:t>
      </w:r>
      <w:r w:rsidRPr="00B011BF">
        <w:rPr>
          <w:rFonts w:ascii="Trebuchet MS" w:hAnsi="Trebuchet MS"/>
          <w:u w:val="single"/>
        </w:rPr>
        <w:t>powiązaniach z innymi przedsiębiorstwami</w:t>
      </w:r>
      <w:r w:rsidRPr="00B011BF">
        <w:rPr>
          <w:rFonts w:ascii="Trebuchet MS" w:hAnsi="Trebuchet MS"/>
        </w:rPr>
        <w:t xml:space="preserve"> – podmioty o złożonej strukturze i powiązane ze sobą, należy niekiedy traktować jako jeden organizm, do którego zastosowanie ma jeden limit pomocy de </w:t>
      </w:r>
      <w:proofErr w:type="spellStart"/>
      <w:r w:rsidRPr="00B011BF">
        <w:rPr>
          <w:rFonts w:ascii="Trebuchet MS" w:hAnsi="Trebuchet MS"/>
        </w:rPr>
        <w:t>minimis</w:t>
      </w:r>
      <w:proofErr w:type="spellEnd"/>
      <w:r w:rsidRPr="00B011BF">
        <w:rPr>
          <w:rFonts w:ascii="Trebuchet MS" w:hAnsi="Trebuchet MS"/>
        </w:rPr>
        <w:t>;</w:t>
      </w:r>
    </w:p>
    <w:p w:rsidR="00B011BF" w:rsidRPr="00B011BF" w:rsidRDefault="00B011BF" w:rsidP="00BE3F0D">
      <w:pPr>
        <w:widowControl w:val="0"/>
        <w:numPr>
          <w:ilvl w:val="0"/>
          <w:numId w:val="3"/>
        </w:num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</w:rPr>
      </w:pPr>
      <w:r w:rsidRPr="00B011BF">
        <w:rPr>
          <w:rFonts w:ascii="Trebuchet MS" w:hAnsi="Trebuchet MS"/>
        </w:rPr>
        <w:t>zobowiązanie wnioskodawców do informowania o fakcie ich powstania w wyniku połączenia się co najmniej 2 przedsiębiorców, przejęcia innego przedsiębiorstwa lub powstania w wyniku podziału innego przedsiębiorstwa;</w:t>
      </w:r>
    </w:p>
    <w:p w:rsidR="00B011BF" w:rsidRPr="00B011BF" w:rsidRDefault="00B011BF" w:rsidP="00BE3F0D">
      <w:pPr>
        <w:widowControl w:val="0"/>
        <w:numPr>
          <w:ilvl w:val="0"/>
          <w:numId w:val="3"/>
        </w:num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</w:rPr>
      </w:pPr>
      <w:r w:rsidRPr="00B011BF">
        <w:rPr>
          <w:rFonts w:ascii="Trebuchet MS" w:hAnsi="Trebuchet MS"/>
          <w:u w:val="single"/>
        </w:rPr>
        <w:t>rezygnacja</w:t>
      </w:r>
      <w:r w:rsidRPr="00B011BF">
        <w:rPr>
          <w:rFonts w:ascii="Trebuchet MS" w:hAnsi="Trebuchet MS"/>
        </w:rPr>
        <w:t xml:space="preserve"> (poza wyjątkami) </w:t>
      </w:r>
      <w:r w:rsidRPr="00B011BF">
        <w:rPr>
          <w:rFonts w:ascii="Trebuchet MS" w:hAnsi="Trebuchet MS"/>
          <w:u w:val="single"/>
        </w:rPr>
        <w:t>z konieczności przedkładania informacji o sytuacji ekonomicznej, w tym sprawozdań finansowych</w:t>
      </w:r>
      <w:r w:rsidRPr="00B011BF">
        <w:rPr>
          <w:rFonts w:ascii="Trebuchet MS" w:hAnsi="Trebuchet MS"/>
        </w:rPr>
        <w:t xml:space="preserve"> za 3 lata obrotowe – KE zrezygnowała z zakazu jej udzielania przedsiębiorcom w trudnej sytuacji ekonomicznej;</w:t>
      </w:r>
    </w:p>
    <w:p w:rsidR="00B011BF" w:rsidRPr="00B011BF" w:rsidRDefault="00B011BF" w:rsidP="00BE3F0D">
      <w:pPr>
        <w:widowControl w:val="0"/>
        <w:numPr>
          <w:ilvl w:val="0"/>
          <w:numId w:val="3"/>
        </w:numPr>
        <w:tabs>
          <w:tab w:val="left" w:pos="426"/>
        </w:tabs>
        <w:spacing w:before="120" w:after="0" w:line="360" w:lineRule="auto"/>
        <w:jc w:val="both"/>
        <w:rPr>
          <w:rFonts w:ascii="Trebuchet MS" w:hAnsi="Trebuchet MS"/>
        </w:rPr>
      </w:pPr>
      <w:r w:rsidRPr="00B011BF">
        <w:rPr>
          <w:rFonts w:ascii="Trebuchet MS" w:hAnsi="Trebuchet MS"/>
        </w:rPr>
        <w:t xml:space="preserve">wprowadzenie w miejsce jednego wzoru formularza informacji, trzech odrębnych, z </w:t>
      </w:r>
      <w:r w:rsidRPr="00B011BF">
        <w:rPr>
          <w:rFonts w:ascii="Trebuchet MS" w:hAnsi="Trebuchet MS"/>
        </w:rPr>
        <w:lastRenderedPageBreak/>
        <w:t>których każdy będzie miał zastosowanie do innego rozporządzenia KE</w:t>
      </w:r>
      <w:r w:rsidRPr="00B011BF">
        <w:rPr>
          <w:rStyle w:val="Odwoanieprzypisudolnego"/>
          <w:rFonts w:ascii="Trebuchet MS" w:hAnsi="Trebuchet MS"/>
        </w:rPr>
        <w:footnoteReference w:id="4"/>
      </w:r>
      <w:r w:rsidRPr="00B011BF">
        <w:rPr>
          <w:rFonts w:ascii="Trebuchet MS" w:hAnsi="Trebuchet MS"/>
        </w:rPr>
        <w:t>.</w:t>
      </w:r>
      <w:r w:rsidRPr="00B011BF">
        <w:rPr>
          <w:rFonts w:ascii="Trebuchet MS" w:hAnsi="Trebuchet MS"/>
          <w:bCs/>
        </w:rPr>
        <w:t xml:space="preserve"> </w:t>
      </w:r>
    </w:p>
    <w:p w:rsidR="00B011BF" w:rsidRPr="00B011BF" w:rsidRDefault="00B011BF" w:rsidP="00BE3F0D">
      <w:pPr>
        <w:pStyle w:val="Tekstpodstawowywcity3"/>
        <w:tabs>
          <w:tab w:val="left" w:pos="540"/>
        </w:tabs>
        <w:spacing w:after="0" w:line="360" w:lineRule="auto"/>
        <w:ind w:left="0"/>
        <w:jc w:val="both"/>
        <w:rPr>
          <w:rFonts w:ascii="Trebuchet MS" w:hAnsi="Trebuchet MS"/>
          <w:bCs/>
          <w:color w:val="000000"/>
          <w:sz w:val="24"/>
          <w:szCs w:val="24"/>
        </w:rPr>
      </w:pPr>
    </w:p>
    <w:p w:rsidR="00B011BF" w:rsidRPr="00B011BF" w:rsidRDefault="00B011BF" w:rsidP="00BE3F0D">
      <w:pPr>
        <w:widowControl w:val="0"/>
        <w:tabs>
          <w:tab w:val="left" w:pos="426"/>
        </w:tabs>
        <w:spacing w:line="360" w:lineRule="auto"/>
        <w:jc w:val="both"/>
        <w:rPr>
          <w:rFonts w:ascii="Trebuchet MS" w:hAnsi="Trebuchet MS"/>
          <w:b/>
        </w:rPr>
      </w:pPr>
      <w:r w:rsidRPr="00B011BF">
        <w:rPr>
          <w:rFonts w:ascii="Trebuchet MS" w:hAnsi="Trebuchet MS"/>
          <w:b/>
        </w:rPr>
        <w:t xml:space="preserve">Najistotniejsze zmiany we wzorze zaświadczenia </w:t>
      </w:r>
      <w:r w:rsidRPr="00B011BF">
        <w:rPr>
          <w:rFonts w:ascii="Trebuchet MS" w:hAnsi="Trebuchet MS"/>
          <w:b/>
          <w:bCs/>
          <w:color w:val="000000"/>
        </w:rPr>
        <w:t xml:space="preserve">o pomoc de </w:t>
      </w:r>
      <w:proofErr w:type="spellStart"/>
      <w:r w:rsidRPr="00B011BF">
        <w:rPr>
          <w:rFonts w:ascii="Trebuchet MS" w:hAnsi="Trebuchet MS"/>
          <w:b/>
          <w:bCs/>
          <w:color w:val="000000"/>
        </w:rPr>
        <w:t>minimis</w:t>
      </w:r>
      <w:proofErr w:type="spellEnd"/>
      <w:r w:rsidRPr="00B011BF">
        <w:rPr>
          <w:rFonts w:ascii="Trebuchet MS" w:hAnsi="Trebuchet MS"/>
          <w:b/>
          <w:bCs/>
          <w:color w:val="000000"/>
        </w:rPr>
        <w:t>:</w:t>
      </w:r>
    </w:p>
    <w:p w:rsidR="00B011BF" w:rsidRPr="00B011BF" w:rsidRDefault="00B011BF" w:rsidP="00BE3F0D">
      <w:pPr>
        <w:numPr>
          <w:ilvl w:val="1"/>
          <w:numId w:val="2"/>
        </w:numPr>
        <w:spacing w:before="120" w:after="0" w:line="360" w:lineRule="auto"/>
        <w:jc w:val="both"/>
        <w:rPr>
          <w:rFonts w:ascii="Trebuchet MS" w:hAnsi="Trebuchet MS"/>
        </w:rPr>
      </w:pPr>
      <w:r w:rsidRPr="00B011BF">
        <w:rPr>
          <w:rFonts w:ascii="Trebuchet MS" w:hAnsi="Trebuchet MS"/>
          <w:color w:val="000000"/>
        </w:rPr>
        <w:t>wystawianie zaświadczeń na spółki osobowe (np. cywilną) – dotychczas istniały wątpliwości, czy należy je wydawać na spółkę osobową czy na poszczególnych wspólników;</w:t>
      </w:r>
    </w:p>
    <w:p w:rsidR="00B011BF" w:rsidRPr="00B011BF" w:rsidRDefault="00B011BF" w:rsidP="00BE3F0D">
      <w:pPr>
        <w:numPr>
          <w:ilvl w:val="1"/>
          <w:numId w:val="2"/>
        </w:numPr>
        <w:spacing w:before="120" w:after="0" w:line="360" w:lineRule="auto"/>
        <w:jc w:val="both"/>
        <w:rPr>
          <w:rFonts w:ascii="Trebuchet MS" w:hAnsi="Trebuchet MS"/>
        </w:rPr>
      </w:pPr>
      <w:r w:rsidRPr="00B011BF">
        <w:rPr>
          <w:rFonts w:ascii="Trebuchet MS" w:hAnsi="Trebuchet MS"/>
        </w:rPr>
        <w:t>dostosowanie treści wzoru zaświadczenia do poszczególnych rozporządzeń KE</w:t>
      </w:r>
      <w:r w:rsidRPr="00B011BF">
        <w:rPr>
          <w:rStyle w:val="Odwoanieprzypisudolnego"/>
          <w:rFonts w:ascii="Trebuchet MS" w:hAnsi="Trebuchet MS"/>
        </w:rPr>
        <w:footnoteReference w:id="5"/>
      </w:r>
      <w:r w:rsidRPr="00B011BF">
        <w:rPr>
          <w:rFonts w:ascii="Trebuchet MS" w:hAnsi="Trebuchet MS"/>
        </w:rPr>
        <w:t>.</w:t>
      </w:r>
    </w:p>
    <w:p w:rsidR="00B011BF" w:rsidRPr="00BE3F0D" w:rsidRDefault="00B011BF" w:rsidP="00BE3F0D">
      <w:pPr>
        <w:spacing w:line="360" w:lineRule="auto"/>
        <w:jc w:val="both"/>
        <w:rPr>
          <w:rFonts w:ascii="Trebuchet MS" w:hAnsi="Trebuchet MS"/>
          <w:color w:val="000000"/>
        </w:rPr>
      </w:pPr>
      <w:r w:rsidRPr="00B011BF">
        <w:rPr>
          <w:rFonts w:ascii="Trebuchet MS" w:hAnsi="Trebuchet MS"/>
        </w:rPr>
        <w:t xml:space="preserve">W formularzach informacji oraz wzorze zaświadczenia </w:t>
      </w:r>
      <w:r w:rsidRPr="00B011BF">
        <w:rPr>
          <w:rFonts w:ascii="Trebuchet MS" w:hAnsi="Trebuchet MS"/>
          <w:color w:val="000000"/>
        </w:rPr>
        <w:t>wprowadzono przy okazji bardziej przejrzysty i intuicyjny ich układ graficzn</w:t>
      </w:r>
      <w:r w:rsidR="00BE3F0D">
        <w:rPr>
          <w:rFonts w:ascii="Trebuchet MS" w:hAnsi="Trebuchet MS"/>
          <w:color w:val="000000"/>
        </w:rPr>
        <w:t>ej.</w:t>
      </w:r>
    </w:p>
    <w:p w:rsidR="0035473A" w:rsidRDefault="0035473A" w:rsidP="00BE3F0D">
      <w:pPr>
        <w:spacing w:line="360" w:lineRule="auto"/>
        <w:jc w:val="both"/>
        <w:rPr>
          <w:rFonts w:ascii="Trebuchet MS" w:hAnsi="Trebuchet MS"/>
        </w:rPr>
      </w:pPr>
    </w:p>
    <w:p w:rsidR="007D0C4F" w:rsidRPr="00B011BF" w:rsidRDefault="0035473A" w:rsidP="00BE3F0D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Artykuł ukazał się 16 września 2014 roku w Dzienniku Gazecie Prawnej.</w:t>
      </w:r>
    </w:p>
    <w:sectPr w:rsidR="007D0C4F" w:rsidRPr="00B011BF" w:rsidSect="009D35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95" w:rsidRDefault="00F03A95" w:rsidP="007D0C4F">
      <w:pPr>
        <w:spacing w:after="0" w:line="240" w:lineRule="auto"/>
      </w:pPr>
      <w:r>
        <w:separator/>
      </w:r>
    </w:p>
  </w:endnote>
  <w:endnote w:type="continuationSeparator" w:id="0">
    <w:p w:rsidR="00F03A95" w:rsidRDefault="00F03A95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4F" w:rsidRDefault="00F16F43">
    <w:pPr>
      <w:pStyle w:val="Stopka"/>
    </w:pPr>
    <w:r>
      <w:rPr>
        <w:noProof/>
      </w:rPr>
      <w:pict>
        <v:line id="Łącznik prostoliniowy 8" o:spid="_x0000_s2067" style="position:absolute;flip:y;z-index:-251656704;visibility:visibl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</w:pict>
    </w:r>
    <w:r>
      <w:rPr>
        <w:noProof/>
      </w:rPr>
      <w:pict>
        <v:line id="Łącznik prostoliniowy 7" o:spid="_x0000_s2066" style="position:absolute;z-index:-251657728;visibility:visibl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</w:pict>
    </w:r>
    <w:r w:rsidR="00DE51D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19050" t="0" r="0" b="0"/>
          <wp:wrapNone/>
          <wp:docPr id="17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6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19050" t="0" r="0" b="0"/>
          <wp:wrapNone/>
          <wp:docPr id="14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inline distT="0" distB="0" distL="0" distR="0">
          <wp:extent cx="5743575" cy="704850"/>
          <wp:effectExtent l="1905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line id="Łącznik prostoliniowy 11" o:spid="_x0000_s2061" style="position:absolute;z-index:-251655680;visibility:visible;mso-position-horizontal-relative:text;mso-position-vertical-relative:text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95" w:rsidRDefault="00F03A95" w:rsidP="007D0C4F">
      <w:pPr>
        <w:spacing w:after="0" w:line="240" w:lineRule="auto"/>
      </w:pPr>
      <w:r>
        <w:separator/>
      </w:r>
    </w:p>
  </w:footnote>
  <w:footnote w:type="continuationSeparator" w:id="0">
    <w:p w:rsidR="00F03A95" w:rsidRDefault="00F03A95" w:rsidP="007D0C4F">
      <w:pPr>
        <w:spacing w:after="0" w:line="240" w:lineRule="auto"/>
      </w:pPr>
      <w:r>
        <w:continuationSeparator/>
      </w:r>
    </w:p>
  </w:footnote>
  <w:footnote w:id="1">
    <w:p w:rsidR="00B011BF" w:rsidRPr="00B05144" w:rsidRDefault="00B011BF" w:rsidP="00B011BF">
      <w:pPr>
        <w:pStyle w:val="Tekstprzypisudolnego"/>
        <w:rPr>
          <w:rFonts w:ascii="Trebuchet MS" w:hAnsi="Trebuchet MS"/>
        </w:rPr>
      </w:pPr>
      <w:r w:rsidRPr="00B05144">
        <w:rPr>
          <w:rStyle w:val="Odwoanieprzypisudolnego"/>
          <w:rFonts w:ascii="Trebuchet MS" w:hAnsi="Trebuchet MS"/>
        </w:rPr>
        <w:footnoteRef/>
      </w:r>
      <w:r w:rsidRPr="00B05144">
        <w:rPr>
          <w:rFonts w:ascii="Trebuchet MS" w:hAnsi="Trebuchet MS"/>
        </w:rPr>
        <w:t xml:space="preserve"> </w:t>
      </w:r>
      <w:r w:rsidRPr="00B05144">
        <w:rPr>
          <w:rFonts w:ascii="Trebuchet MS" w:hAnsi="Trebuchet MS"/>
          <w:i/>
        </w:rPr>
        <w:t>„Raport o pomocy de minimis w Polsce udzielonej przedsiębiorcom w 2013 roku”</w:t>
      </w:r>
      <w:r w:rsidRPr="00B05144">
        <w:rPr>
          <w:rFonts w:ascii="Trebuchet MS" w:hAnsi="Trebuchet MS"/>
        </w:rPr>
        <w:t xml:space="preserve">, </w:t>
      </w:r>
      <w:hyperlink r:id="rId1" w:history="1">
        <w:r w:rsidRPr="00B05144">
          <w:rPr>
            <w:rStyle w:val="Hipercze"/>
            <w:rFonts w:ascii="Trebuchet MS" w:hAnsi="Trebuchet MS"/>
          </w:rPr>
          <w:t>www.uokik.gov.pl</w:t>
        </w:r>
      </w:hyperlink>
      <w:r w:rsidRPr="00B05144">
        <w:rPr>
          <w:rFonts w:ascii="Trebuchet MS" w:hAnsi="Trebuchet MS"/>
        </w:rPr>
        <w:t xml:space="preserve"> </w:t>
      </w:r>
    </w:p>
  </w:footnote>
  <w:footnote w:id="2">
    <w:p w:rsidR="00B011BF" w:rsidRPr="00BE3F0D" w:rsidRDefault="00B011BF" w:rsidP="00B011BF">
      <w:pPr>
        <w:pStyle w:val="Tekstprzypisudolnego"/>
        <w:jc w:val="both"/>
        <w:rPr>
          <w:rFonts w:ascii="Trebuchet MS" w:hAnsi="Trebuchet MS"/>
        </w:rPr>
      </w:pPr>
      <w:r w:rsidRPr="00BE3F0D">
        <w:rPr>
          <w:rStyle w:val="Odwoanieprzypisudolnego"/>
          <w:rFonts w:ascii="Trebuchet MS" w:hAnsi="Trebuchet MS"/>
        </w:rPr>
        <w:footnoteRef/>
      </w:r>
      <w:r w:rsidRPr="00BE3F0D">
        <w:rPr>
          <w:rFonts w:ascii="Trebuchet MS" w:hAnsi="Trebuchet MS"/>
        </w:rPr>
        <w:t xml:space="preserve"> Rozporządzenie Rady Ministrów z 29.3.2010 r. w sprawie zakresu informacji przedstawianych przez podmiot ubiegający się o pomoc de minimis (Dz. U. Nr 53, poz. 311, z późn. zm.). </w:t>
      </w:r>
    </w:p>
  </w:footnote>
  <w:footnote w:id="3">
    <w:p w:rsidR="00B011BF" w:rsidRDefault="00B011BF" w:rsidP="00B011BF">
      <w:pPr>
        <w:pStyle w:val="Tekstprzypisudolnego"/>
        <w:jc w:val="both"/>
      </w:pPr>
      <w:r w:rsidRPr="00BE3F0D">
        <w:rPr>
          <w:rStyle w:val="Odwoanieprzypisudolnego"/>
          <w:rFonts w:ascii="Trebuchet MS" w:hAnsi="Trebuchet MS"/>
        </w:rPr>
        <w:footnoteRef/>
      </w:r>
      <w:r w:rsidRPr="00BE3F0D">
        <w:rPr>
          <w:rFonts w:ascii="Trebuchet MS" w:hAnsi="Trebuchet MS"/>
        </w:rPr>
        <w:t xml:space="preserve"> Rzporządzenie Rady Ministrów z 20.3.2007 r. w sprawie zaświadczeń o pomocy de minimis i pomocy de minimis w rolnictwie lub rybołówstwie (z. U. Nr 53, poz. 354, z późn.zm.).</w:t>
      </w:r>
    </w:p>
  </w:footnote>
  <w:footnote w:id="4">
    <w:p w:rsidR="00B011BF" w:rsidRPr="00B05144" w:rsidRDefault="00B011BF" w:rsidP="00B011BF">
      <w:pPr>
        <w:pStyle w:val="Tekstprzypisudolnego"/>
        <w:jc w:val="both"/>
        <w:rPr>
          <w:rFonts w:ascii="Trebuchet MS" w:hAnsi="Trebuchet MS"/>
        </w:rPr>
      </w:pPr>
      <w:r>
        <w:rPr>
          <w:rStyle w:val="Odwoanieprzypisudolnego"/>
        </w:rPr>
        <w:footnoteRef/>
      </w:r>
      <w:r>
        <w:t xml:space="preserve"> </w:t>
      </w:r>
      <w:r w:rsidRPr="00B05144">
        <w:rPr>
          <w:rFonts w:ascii="Trebuchet MS" w:hAnsi="Trebuchet MS"/>
        </w:rPr>
        <w:t xml:space="preserve">Chodzi o rozporządzenie KE nr 1407/2013, rozporządzenie KE nr 360/2012 oraz nieobowiązujące już rozporządzenie KE nr 1998/2006, w oparciu o które pomoc może być kontynuowana na „starych” zasadach. </w:t>
      </w:r>
    </w:p>
  </w:footnote>
  <w:footnote w:id="5">
    <w:p w:rsidR="00B011BF" w:rsidRDefault="00B011BF" w:rsidP="00B011BF">
      <w:pPr>
        <w:pStyle w:val="Tekstprzypisudolnego"/>
      </w:pPr>
      <w:r w:rsidRPr="00B05144">
        <w:rPr>
          <w:rStyle w:val="Odwoanieprzypisudolnego"/>
          <w:rFonts w:ascii="Trebuchet MS" w:hAnsi="Trebuchet MS"/>
        </w:rPr>
        <w:footnoteRef/>
      </w:r>
      <w:r w:rsidRPr="00B05144">
        <w:rPr>
          <w:rFonts w:ascii="Trebuchet MS" w:hAnsi="Trebuchet MS"/>
        </w:rPr>
        <w:t xml:space="preserve"> Rozporządzenia KE nr 1407/2013 oraz rozporządzenia KE nr 360/2012.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4F" w:rsidRDefault="00F33748">
    <w:pPr>
      <w:pStyle w:val="Nagwek"/>
    </w:pPr>
    <w:r>
      <w:rPr>
        <w:noProof/>
        <w:lang w:eastAsia="pl-PL"/>
      </w:rPr>
      <w:drawing>
        <wp:inline distT="0" distB="0" distL="0" distR="0">
          <wp:extent cx="5760720" cy="7245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C4F" w:rsidRDefault="007D0C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F14"/>
    <w:multiLevelType w:val="hybridMultilevel"/>
    <w:tmpl w:val="51DCFA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6FE868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0751E"/>
    <w:multiLevelType w:val="hybridMultilevel"/>
    <w:tmpl w:val="AE1E5510"/>
    <w:lvl w:ilvl="0" w:tplc="54883AF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4"/>
      </w:rPr>
    </w:lvl>
    <w:lvl w:ilvl="1" w:tplc="CAF00BB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834B4"/>
    <w:multiLevelType w:val="hybridMultilevel"/>
    <w:tmpl w:val="515E1C3E"/>
    <w:lvl w:ilvl="0" w:tplc="DC265CA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0C4F"/>
    <w:rsid w:val="00012D54"/>
    <w:rsid w:val="00016569"/>
    <w:rsid w:val="00017482"/>
    <w:rsid w:val="00022E7C"/>
    <w:rsid w:val="00026A24"/>
    <w:rsid w:val="00030CD0"/>
    <w:rsid w:val="0004211E"/>
    <w:rsid w:val="00051EAC"/>
    <w:rsid w:val="0007437C"/>
    <w:rsid w:val="00092304"/>
    <w:rsid w:val="00093DBA"/>
    <w:rsid w:val="000A2C50"/>
    <w:rsid w:val="000C773F"/>
    <w:rsid w:val="000D574C"/>
    <w:rsid w:val="00100542"/>
    <w:rsid w:val="00105274"/>
    <w:rsid w:val="00126CA0"/>
    <w:rsid w:val="0013114D"/>
    <w:rsid w:val="00132019"/>
    <w:rsid w:val="00140845"/>
    <w:rsid w:val="00151518"/>
    <w:rsid w:val="00155FB9"/>
    <w:rsid w:val="00163EAC"/>
    <w:rsid w:val="0016739E"/>
    <w:rsid w:val="00182992"/>
    <w:rsid w:val="00183244"/>
    <w:rsid w:val="001961A5"/>
    <w:rsid w:val="001C35F4"/>
    <w:rsid w:val="001E2BEA"/>
    <w:rsid w:val="0024748F"/>
    <w:rsid w:val="00291D7D"/>
    <w:rsid w:val="00292D69"/>
    <w:rsid w:val="00315ED2"/>
    <w:rsid w:val="00317E8E"/>
    <w:rsid w:val="003372BB"/>
    <w:rsid w:val="0035473A"/>
    <w:rsid w:val="003879DD"/>
    <w:rsid w:val="003B7D5B"/>
    <w:rsid w:val="003F08A3"/>
    <w:rsid w:val="00406848"/>
    <w:rsid w:val="0042778A"/>
    <w:rsid w:val="004348B2"/>
    <w:rsid w:val="00451CBA"/>
    <w:rsid w:val="0045538F"/>
    <w:rsid w:val="00460353"/>
    <w:rsid w:val="00476FFA"/>
    <w:rsid w:val="0048559E"/>
    <w:rsid w:val="004868C9"/>
    <w:rsid w:val="004B426E"/>
    <w:rsid w:val="004C0709"/>
    <w:rsid w:val="004C49B4"/>
    <w:rsid w:val="004D314B"/>
    <w:rsid w:val="004E031B"/>
    <w:rsid w:val="00513BC0"/>
    <w:rsid w:val="005232F6"/>
    <w:rsid w:val="005925A5"/>
    <w:rsid w:val="00595CE5"/>
    <w:rsid w:val="005B69F5"/>
    <w:rsid w:val="005C1CDA"/>
    <w:rsid w:val="005C343C"/>
    <w:rsid w:val="005D1012"/>
    <w:rsid w:val="005D3300"/>
    <w:rsid w:val="00611467"/>
    <w:rsid w:val="006148D0"/>
    <w:rsid w:val="00677266"/>
    <w:rsid w:val="006818FB"/>
    <w:rsid w:val="006A0C1C"/>
    <w:rsid w:val="006A2870"/>
    <w:rsid w:val="006D3043"/>
    <w:rsid w:val="006D3B02"/>
    <w:rsid w:val="006F005D"/>
    <w:rsid w:val="00710EE8"/>
    <w:rsid w:val="00712A79"/>
    <w:rsid w:val="007331BE"/>
    <w:rsid w:val="00771009"/>
    <w:rsid w:val="00771F7B"/>
    <w:rsid w:val="00775CAA"/>
    <w:rsid w:val="007834C6"/>
    <w:rsid w:val="0078584A"/>
    <w:rsid w:val="007A36EB"/>
    <w:rsid w:val="007A63D6"/>
    <w:rsid w:val="007B695B"/>
    <w:rsid w:val="007C214F"/>
    <w:rsid w:val="007D0C4F"/>
    <w:rsid w:val="007E3D3A"/>
    <w:rsid w:val="00804203"/>
    <w:rsid w:val="00812B5D"/>
    <w:rsid w:val="00857C6A"/>
    <w:rsid w:val="00864CE9"/>
    <w:rsid w:val="00890B43"/>
    <w:rsid w:val="00897DC2"/>
    <w:rsid w:val="008B4D4A"/>
    <w:rsid w:val="008E065D"/>
    <w:rsid w:val="008E0688"/>
    <w:rsid w:val="0091679A"/>
    <w:rsid w:val="00957460"/>
    <w:rsid w:val="00957A9E"/>
    <w:rsid w:val="0098596A"/>
    <w:rsid w:val="009976D7"/>
    <w:rsid w:val="00997E38"/>
    <w:rsid w:val="009B03AA"/>
    <w:rsid w:val="009B241C"/>
    <w:rsid w:val="009B3824"/>
    <w:rsid w:val="009B6361"/>
    <w:rsid w:val="009D3594"/>
    <w:rsid w:val="009E309A"/>
    <w:rsid w:val="00A01E8F"/>
    <w:rsid w:val="00A555D0"/>
    <w:rsid w:val="00A85A25"/>
    <w:rsid w:val="00A90FE6"/>
    <w:rsid w:val="00A96BD9"/>
    <w:rsid w:val="00A974D8"/>
    <w:rsid w:val="00AA1C0B"/>
    <w:rsid w:val="00AC3F4F"/>
    <w:rsid w:val="00AE1027"/>
    <w:rsid w:val="00AE46FA"/>
    <w:rsid w:val="00AF3430"/>
    <w:rsid w:val="00B011BF"/>
    <w:rsid w:val="00B05144"/>
    <w:rsid w:val="00B224DD"/>
    <w:rsid w:val="00B31A3A"/>
    <w:rsid w:val="00B36ECF"/>
    <w:rsid w:val="00B653E2"/>
    <w:rsid w:val="00B67DAA"/>
    <w:rsid w:val="00B81DB4"/>
    <w:rsid w:val="00BA17CC"/>
    <w:rsid w:val="00BB2848"/>
    <w:rsid w:val="00BB52C8"/>
    <w:rsid w:val="00BC306A"/>
    <w:rsid w:val="00BE3F0D"/>
    <w:rsid w:val="00BF6E01"/>
    <w:rsid w:val="00C2388B"/>
    <w:rsid w:val="00C31CAC"/>
    <w:rsid w:val="00C74960"/>
    <w:rsid w:val="00C841D5"/>
    <w:rsid w:val="00C92EFE"/>
    <w:rsid w:val="00CA4E90"/>
    <w:rsid w:val="00CA6527"/>
    <w:rsid w:val="00CD3FCC"/>
    <w:rsid w:val="00CE43C7"/>
    <w:rsid w:val="00CF51A2"/>
    <w:rsid w:val="00D061B2"/>
    <w:rsid w:val="00D465D4"/>
    <w:rsid w:val="00DA7302"/>
    <w:rsid w:val="00DB645E"/>
    <w:rsid w:val="00DE51D7"/>
    <w:rsid w:val="00DF4392"/>
    <w:rsid w:val="00E22E69"/>
    <w:rsid w:val="00E23FCB"/>
    <w:rsid w:val="00E30827"/>
    <w:rsid w:val="00E513A9"/>
    <w:rsid w:val="00E759FA"/>
    <w:rsid w:val="00E90A0F"/>
    <w:rsid w:val="00E93697"/>
    <w:rsid w:val="00EB6ECC"/>
    <w:rsid w:val="00EE196B"/>
    <w:rsid w:val="00F03A95"/>
    <w:rsid w:val="00F04F47"/>
    <w:rsid w:val="00F05594"/>
    <w:rsid w:val="00F07398"/>
    <w:rsid w:val="00F16F43"/>
    <w:rsid w:val="00F25E56"/>
    <w:rsid w:val="00F33748"/>
    <w:rsid w:val="00F35DDA"/>
    <w:rsid w:val="00F609BD"/>
    <w:rsid w:val="00F72521"/>
    <w:rsid w:val="00FA5856"/>
    <w:rsid w:val="00FD27E2"/>
    <w:rsid w:val="00FD5E3B"/>
    <w:rsid w:val="00FF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 w:line="360" w:lineRule="auto"/>
      <w:jc w:val="both"/>
    </w:pPr>
    <w:rPr>
      <w:rFonts w:ascii="Georgia" w:eastAsia="Times New Roman" w:hAnsi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7D0C4F"/>
    <w:rPr>
      <w:rFonts w:ascii="Georgia" w:eastAsia="Times New Roman" w:hAnsi="Georgia" w:cs="Georgia"/>
      <w:kern w:val="16"/>
      <w:sz w:val="24"/>
      <w:szCs w:val="24"/>
      <w:lang w:val="en-US" w:eastAsia="pl-PL"/>
    </w:rPr>
  </w:style>
  <w:style w:type="character" w:styleId="Uwydatnienie">
    <w:name w:val="Emphasis"/>
    <w:uiPriority w:val="20"/>
    <w:qFormat/>
    <w:rsid w:val="007D0C4F"/>
    <w:rPr>
      <w:i/>
      <w:iCs/>
    </w:rPr>
  </w:style>
  <w:style w:type="character" w:styleId="Pogrubienie">
    <w:name w:val="Strong"/>
    <w:uiPriority w:val="22"/>
    <w:qFormat/>
    <w:rsid w:val="007D0C4F"/>
    <w:rPr>
      <w:b/>
      <w:bCs/>
    </w:rPr>
  </w:style>
  <w:style w:type="paragraph" w:customStyle="1" w:styleId="tekstkomunikatu0">
    <w:name w:val="tekstkomunikatu"/>
    <w:basedOn w:val="Normalny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C4F"/>
  </w:style>
  <w:style w:type="paragraph" w:styleId="Nagwek">
    <w:name w:val="header"/>
    <w:basedOn w:val="Normalny"/>
    <w:link w:val="Nagwek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C4F"/>
  </w:style>
  <w:style w:type="paragraph" w:styleId="Stopka">
    <w:name w:val="footer"/>
    <w:basedOn w:val="Normalny"/>
    <w:link w:val="Stopka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C4F"/>
  </w:style>
  <w:style w:type="paragraph" w:styleId="Tekstdymka">
    <w:name w:val="Balloon Text"/>
    <w:basedOn w:val="Normalny"/>
    <w:link w:val="TekstdymkaZnak"/>
    <w:uiPriority w:val="99"/>
    <w:semiHidden/>
    <w:unhideWhenUsed/>
    <w:rsid w:val="007D0C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C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005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A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A3A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fn,Schriftart: 9 pt,Schriftart: 10 pt,Schriftart: 8 pt,WB-Fußnotentext,Schriftart,9 pt,10 pt,8 pt,Podrozdział,Footnote,Podrozdzia3,-E Fuﬂnotentext,Fuﬂnotentext Ursprung,Fußnotentext Ursprung,-E Fußnotentext,Footnote text,Fußnote"/>
    <w:basedOn w:val="Normalny"/>
    <w:link w:val="TekstprzypisudolnegoZnak"/>
    <w:semiHidden/>
    <w:rsid w:val="00B011BF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aliases w:val="fn Znak,Schriftart: 9 pt Znak,Schriftart: 10 pt Znak,Schriftart: 8 pt Znak,WB-Fußnotentext Znak,Schriftart Znak,9 pt Znak,10 pt Znak,8 pt Znak,Podrozdział Znak,Footnote Znak,Podrozdzia3 Znak,-E Fuﬂnotentext Znak,Fußnote Znak"/>
    <w:basedOn w:val="Domylnaczcionkaakapitu"/>
    <w:link w:val="Tekstprzypisudolnego"/>
    <w:semiHidden/>
    <w:rsid w:val="00B011BF"/>
    <w:rPr>
      <w:rFonts w:ascii="Times New Roman" w:eastAsia="Times New Roman" w:hAnsi="Times New Roman"/>
      <w:noProof/>
    </w:rPr>
  </w:style>
  <w:style w:type="character" w:styleId="Odwoanieprzypisudolnego">
    <w:name w:val="footnote reference"/>
    <w:aliases w:val="Footnote Reference Number"/>
    <w:semiHidden/>
    <w:rsid w:val="00B011BF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B011B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1BF"/>
    <w:rPr>
      <w:rFonts w:ascii="Times New Roman" w:eastAsia="Times New Roman" w:hAnsi="Times New Roman"/>
      <w:sz w:val="16"/>
      <w:szCs w:val="16"/>
    </w:rPr>
  </w:style>
  <w:style w:type="paragraph" w:customStyle="1" w:styleId="ZnakZnak">
    <w:name w:val="Znak Znak"/>
    <w:basedOn w:val="Normalny"/>
    <w:rsid w:val="00B011B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Dopoziomu1">
    <w:name w:val="Do poziomu 1"/>
    <w:rsid w:val="00B011BF"/>
    <w:rPr>
      <w:rFonts w:ascii="Courier" w:eastAsia="Times New Roman" w:hAnsi="Courier"/>
      <w:b/>
      <w:color w:val="000000"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B01AC-3033-49E1-8475-B516CB88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creator>Agnieszka Jaczyńska</dc:creator>
  <cp:lastModifiedBy>amajchrzak</cp:lastModifiedBy>
  <cp:revision>12</cp:revision>
  <cp:lastPrinted>2014-08-18T13:14:00Z</cp:lastPrinted>
  <dcterms:created xsi:type="dcterms:W3CDTF">2014-09-04T08:07:00Z</dcterms:created>
  <dcterms:modified xsi:type="dcterms:W3CDTF">2014-09-16T11:39:00Z</dcterms:modified>
</cp:coreProperties>
</file>