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E3" w:rsidRPr="00D77077" w:rsidRDefault="00C929E3" w:rsidP="00C929E3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D77077">
        <w:rPr>
          <w:rFonts w:ascii="Trebuchet MS" w:hAnsi="Trebuchet MS"/>
          <w:sz w:val="24"/>
          <w:szCs w:val="24"/>
        </w:rPr>
        <w:t xml:space="preserve">Artykuł </w:t>
      </w:r>
      <w:r w:rsidRPr="00D77077">
        <w:rPr>
          <w:rFonts w:ascii="Trebuchet MS" w:hAnsi="Trebuchet MS"/>
          <w:b/>
          <w:sz w:val="24"/>
          <w:szCs w:val="24"/>
        </w:rPr>
        <w:t>Katarzyny Pamuły</w:t>
      </w:r>
      <w:r w:rsidRPr="00D77077">
        <w:rPr>
          <w:rFonts w:ascii="Trebuchet MS" w:hAnsi="Trebuchet MS"/>
          <w:sz w:val="24"/>
          <w:szCs w:val="24"/>
        </w:rPr>
        <w:t xml:space="preserve">, Starszego specjalisty w Departamencie </w:t>
      </w:r>
      <w:r w:rsidR="0060283A">
        <w:rPr>
          <w:rFonts w:ascii="Trebuchet MS" w:hAnsi="Trebuchet MS"/>
          <w:sz w:val="24"/>
          <w:szCs w:val="24"/>
        </w:rPr>
        <w:t>Monitorowania Pomocy Publicznej</w:t>
      </w:r>
      <w:r w:rsidRPr="00D77077">
        <w:rPr>
          <w:rFonts w:ascii="Trebuchet MS" w:hAnsi="Trebuchet MS"/>
          <w:sz w:val="24"/>
          <w:szCs w:val="24"/>
        </w:rPr>
        <w:t xml:space="preserve"> UOKiK</w:t>
      </w:r>
    </w:p>
    <w:p w:rsidR="00C929E3" w:rsidRPr="00C929E3" w:rsidRDefault="00C929E3" w:rsidP="00C929E3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  <w:caps/>
          <w:sz w:val="32"/>
          <w:szCs w:val="32"/>
        </w:rPr>
      </w:pPr>
      <w:r w:rsidRPr="00C929E3">
        <w:rPr>
          <w:rFonts w:ascii="Trebuchet MS" w:hAnsi="Trebuchet MS"/>
          <w:caps/>
          <w:sz w:val="32"/>
          <w:szCs w:val="32"/>
        </w:rPr>
        <w:t>Zmiany dotyczące udzielania pomocy publicznej w formie refundacji wynagrodzeń wypłacanych pracownikom młodocianym</w:t>
      </w:r>
    </w:p>
    <w:p w:rsidR="00C929E3" w:rsidRPr="00D77077" w:rsidRDefault="00C929E3" w:rsidP="00C929E3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</w:rPr>
      </w:pPr>
      <w:r w:rsidRPr="00D77077">
        <w:rPr>
          <w:rFonts w:ascii="Trebuchet MS" w:hAnsi="Trebuchet MS"/>
          <w:b/>
        </w:rPr>
        <w:t>1 lipca br. weszło w życie nowe rozporządzenie Ministra Pracy i Polityki Społecznej z 25 czerwca 2014 r. w sprawie refundowania ze środków Funduszu Pracy wynagrodzeń wypłacanych młodocianym pracownikom (Dz. U poz. 865). Wprowadza ono zasadnicze zmiany w warunkach udzielania refundacji jako pomocy publicznej</w:t>
      </w:r>
    </w:p>
    <w:p w:rsidR="00C929E3" w:rsidRPr="00D77077" w:rsidRDefault="00C929E3" w:rsidP="00C929E3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  <w:b/>
        </w:rPr>
      </w:pPr>
      <w:r w:rsidRPr="00D77077">
        <w:rPr>
          <w:rFonts w:ascii="Trebuchet MS" w:hAnsi="Trebuchet MS"/>
          <w:b/>
        </w:rPr>
        <w:t>System dofinansowania kształcenia pracowników młodocianych</w:t>
      </w:r>
    </w:p>
    <w:p w:rsidR="00C929E3" w:rsidRPr="00D77077" w:rsidRDefault="00C929E3" w:rsidP="00C929E3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</w:rPr>
      </w:pPr>
      <w:r w:rsidRPr="00D77077">
        <w:rPr>
          <w:rFonts w:ascii="Trebuchet MS" w:hAnsi="Trebuchet MS"/>
        </w:rPr>
        <w:t>Pracodawca, który zawarł z pracownikiem młodocianym umowę w celu przygotowania zawodowego może ubiegać się o środki przeznaczone na częściowe pokrycie kosztów jego kształcenia z dwóch źródeł. Wraz z rozpoczęciem kształcenia może on otrzymywać refundację wynagrodzeń i składek na ubezpieczenia społeczne wypłacaną przez jednostki Ochotniczych Hufców Pracy, a po zakończeniu szkolenia i zdaniu przez pracownika młodocianego egzaminu, ma możliwość złożenia do gminy wniosku o dotację</w:t>
      </w:r>
      <w:r w:rsidRPr="00D77077">
        <w:rPr>
          <w:rStyle w:val="Odwoanieprzypisudolnego"/>
          <w:rFonts w:ascii="Trebuchet MS" w:hAnsi="Trebuchet MS"/>
        </w:rPr>
        <w:footnoteReference w:id="1"/>
      </w:r>
      <w:r w:rsidRPr="00D77077">
        <w:rPr>
          <w:rFonts w:ascii="Trebuchet MS" w:hAnsi="Trebuchet MS"/>
        </w:rPr>
        <w:t xml:space="preserve">. W przypadku pracodawców prowadzących działalność gospodarczą, oba ww. instrumenty podlegają przepisom o pomocy publicznej. </w:t>
      </w:r>
    </w:p>
    <w:p w:rsidR="00C929E3" w:rsidRPr="00D77077" w:rsidRDefault="00C929E3" w:rsidP="00C929E3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  <w:b/>
        </w:rPr>
      </w:pPr>
      <w:r w:rsidRPr="00D77077">
        <w:rPr>
          <w:rFonts w:ascii="Trebuchet MS" w:hAnsi="Trebuchet MS"/>
          <w:b/>
        </w:rPr>
        <w:t>Stan prawny do końca czerwca br.</w:t>
      </w:r>
    </w:p>
    <w:p w:rsidR="00C929E3" w:rsidRPr="00D77077" w:rsidRDefault="00C929E3" w:rsidP="00C929E3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</w:rPr>
      </w:pPr>
      <w:r w:rsidRPr="00D77077">
        <w:rPr>
          <w:rFonts w:ascii="Trebuchet MS" w:hAnsi="Trebuchet MS"/>
        </w:rPr>
        <w:t xml:space="preserve">Do końca czerwca br. refundacja wypłacana przez OHP stanowiła pomoc publiczną na szkolenia ogólne, natomiast dotacja z gminy udzielana była na zasadach pomocy de </w:t>
      </w:r>
      <w:proofErr w:type="spellStart"/>
      <w:r w:rsidRPr="00D77077">
        <w:rPr>
          <w:rFonts w:ascii="Trebuchet MS" w:hAnsi="Trebuchet MS"/>
        </w:rPr>
        <w:t>minimis</w:t>
      </w:r>
      <w:proofErr w:type="spellEnd"/>
      <w:r w:rsidRPr="00D77077">
        <w:rPr>
          <w:rFonts w:ascii="Trebuchet MS" w:hAnsi="Trebuchet MS"/>
        </w:rPr>
        <w:t xml:space="preserve">. Pomoc na szkolenia charakteryzuje się tym, że może być ona udzielona tylko na częściowe pokrycie kosztów - czyli ma swoją intensywność (wyrażoną procentowo) oraz kumuluje się z każdą inną pomocą, w tym pomocą de </w:t>
      </w:r>
      <w:proofErr w:type="spellStart"/>
      <w:r w:rsidRPr="00D77077">
        <w:rPr>
          <w:rFonts w:ascii="Trebuchet MS" w:hAnsi="Trebuchet MS"/>
        </w:rPr>
        <w:t>minimis</w:t>
      </w:r>
      <w:proofErr w:type="spellEnd"/>
      <w:r w:rsidRPr="00D77077">
        <w:rPr>
          <w:rFonts w:ascii="Trebuchet MS" w:hAnsi="Trebuchet MS"/>
        </w:rPr>
        <w:t xml:space="preserve"> w odniesieniu do tych samych kosztów. W konsekwencji, gdy pracodawca skorzystał z refundacji stanowiącej pomoc publiczną, przy udzielaniu dotacji stanowiącej pomoc de </w:t>
      </w:r>
      <w:proofErr w:type="spellStart"/>
      <w:r w:rsidRPr="00D77077">
        <w:rPr>
          <w:rFonts w:ascii="Trebuchet MS" w:hAnsi="Trebuchet MS"/>
        </w:rPr>
        <w:t>minimis</w:t>
      </w:r>
      <w:proofErr w:type="spellEnd"/>
      <w:r w:rsidRPr="00D77077">
        <w:rPr>
          <w:rFonts w:ascii="Trebuchet MS" w:hAnsi="Trebuchet MS"/>
        </w:rPr>
        <w:t xml:space="preserve">, organ gminy musiał badać kumulację pomocy publicznej z pomocą de </w:t>
      </w:r>
      <w:proofErr w:type="spellStart"/>
      <w:r w:rsidRPr="00D77077">
        <w:rPr>
          <w:rFonts w:ascii="Trebuchet MS" w:hAnsi="Trebuchet MS"/>
        </w:rPr>
        <w:t>minimis</w:t>
      </w:r>
      <w:proofErr w:type="spellEnd"/>
      <w:r w:rsidRPr="00D77077">
        <w:rPr>
          <w:rFonts w:ascii="Trebuchet MS" w:hAnsi="Trebuchet MS"/>
        </w:rPr>
        <w:t xml:space="preserve">. Jeżeli pomoc de </w:t>
      </w:r>
      <w:proofErr w:type="spellStart"/>
      <w:r w:rsidRPr="00D77077">
        <w:rPr>
          <w:rFonts w:ascii="Trebuchet MS" w:hAnsi="Trebuchet MS"/>
        </w:rPr>
        <w:t>minimis</w:t>
      </w:r>
      <w:proofErr w:type="spellEnd"/>
      <w:r w:rsidRPr="00D77077">
        <w:rPr>
          <w:rFonts w:ascii="Trebuchet MS" w:hAnsi="Trebuchet MS"/>
        </w:rPr>
        <w:t xml:space="preserve"> (dotacja) powodowała przekroczenie maksymalnej intensywności pomocy publicznej </w:t>
      </w:r>
      <w:r w:rsidRPr="00D77077">
        <w:rPr>
          <w:rFonts w:ascii="Trebuchet MS" w:hAnsi="Trebuchet MS"/>
        </w:rPr>
        <w:lastRenderedPageBreak/>
        <w:t>(refundacji), to organ gminy zmuszony był stosownie pomniejszyć wartość dotacji (tak, aby suma refundacji i dotacji nie przekroczyły np. 80% całości kosztów poniesionych w związku z kształceniem danego pracownika młodocianego).</w:t>
      </w:r>
    </w:p>
    <w:p w:rsidR="00C929E3" w:rsidRPr="00D77077" w:rsidRDefault="00C929E3" w:rsidP="00C929E3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  <w:b/>
        </w:rPr>
      </w:pPr>
      <w:r w:rsidRPr="00D77077">
        <w:rPr>
          <w:rFonts w:ascii="Trebuchet MS" w:hAnsi="Trebuchet MS"/>
          <w:b/>
        </w:rPr>
        <w:t>Zmiany w zakresie warunków dopuszczalności pomocy publicznej</w:t>
      </w:r>
    </w:p>
    <w:p w:rsidR="00C929E3" w:rsidRPr="00D77077" w:rsidRDefault="00C929E3" w:rsidP="00C929E3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</w:rPr>
      </w:pPr>
      <w:r w:rsidRPr="00D77077">
        <w:rPr>
          <w:rFonts w:ascii="Trebuchet MS" w:hAnsi="Trebuchet MS"/>
        </w:rPr>
        <w:t xml:space="preserve">Od lipca b.r. zarówno refundacja, jak i dotacja zostały zakwalifikowane jako pomoc de </w:t>
      </w:r>
      <w:proofErr w:type="spellStart"/>
      <w:r w:rsidRPr="00D77077">
        <w:rPr>
          <w:rFonts w:ascii="Trebuchet MS" w:hAnsi="Trebuchet MS"/>
        </w:rPr>
        <w:t>minimis</w:t>
      </w:r>
      <w:proofErr w:type="spellEnd"/>
      <w:r w:rsidRPr="00D77077">
        <w:rPr>
          <w:rFonts w:ascii="Trebuchet MS" w:hAnsi="Trebuchet MS"/>
        </w:rPr>
        <w:t xml:space="preserve">. Zmiana ta spowoduje, że organ gminy nie będzie musiał badać, czy suma refundacji i dotacji przekroczą wskazaną w przepisach intensywność pomocy publicznej na szkolenia. Pomoc de </w:t>
      </w:r>
      <w:proofErr w:type="spellStart"/>
      <w:r w:rsidRPr="00D77077">
        <w:rPr>
          <w:rFonts w:ascii="Trebuchet MS" w:hAnsi="Trebuchet MS"/>
        </w:rPr>
        <w:t>minimis</w:t>
      </w:r>
      <w:proofErr w:type="spellEnd"/>
      <w:r w:rsidRPr="00D77077">
        <w:rPr>
          <w:rFonts w:ascii="Trebuchet MS" w:hAnsi="Trebuchet MS"/>
        </w:rPr>
        <w:t xml:space="preserve">, co prawda kumuluje się z każdą inna pomocą de </w:t>
      </w:r>
      <w:proofErr w:type="spellStart"/>
      <w:r w:rsidRPr="00D77077">
        <w:rPr>
          <w:rFonts w:ascii="Trebuchet MS" w:hAnsi="Trebuchet MS"/>
        </w:rPr>
        <w:t>minimis</w:t>
      </w:r>
      <w:proofErr w:type="spellEnd"/>
      <w:r w:rsidRPr="00D77077">
        <w:rPr>
          <w:rFonts w:ascii="Trebuchet MS" w:hAnsi="Trebuchet MS"/>
        </w:rPr>
        <w:t xml:space="preserve">, ale może być udzielana do 100% kosztów. Badanie kumulacji przez organ gminy ogranicza się w takiej sytuacji jedynie do tego, czy dotacja udzielona wnioskodawcy nie przekroczy dopuszczalnego limitu pomocy de </w:t>
      </w:r>
      <w:proofErr w:type="spellStart"/>
      <w:r w:rsidRPr="00D77077">
        <w:rPr>
          <w:rFonts w:ascii="Trebuchet MS" w:hAnsi="Trebuchet MS"/>
        </w:rPr>
        <w:t>minimis</w:t>
      </w:r>
      <w:proofErr w:type="spellEnd"/>
      <w:r w:rsidRPr="00D77077">
        <w:rPr>
          <w:rFonts w:ascii="Trebuchet MS" w:hAnsi="Trebuchet MS"/>
        </w:rPr>
        <w:t xml:space="preserve"> (np. 200 tysięcy).</w:t>
      </w:r>
    </w:p>
    <w:p w:rsidR="00C929E3" w:rsidRPr="00D77077" w:rsidRDefault="00C929E3" w:rsidP="00C929E3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  <w:b/>
        </w:rPr>
      </w:pPr>
      <w:r w:rsidRPr="00D77077">
        <w:rPr>
          <w:rFonts w:ascii="Trebuchet MS" w:hAnsi="Trebuchet MS"/>
          <w:b/>
        </w:rPr>
        <w:t>Konsekwencje w praktyce dopiero za trzy lata</w:t>
      </w:r>
    </w:p>
    <w:p w:rsidR="00C929E3" w:rsidRPr="00D77077" w:rsidRDefault="00C929E3" w:rsidP="00C929E3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</w:rPr>
      </w:pPr>
      <w:r w:rsidRPr="00D77077">
        <w:rPr>
          <w:rFonts w:ascii="Trebuchet MS" w:hAnsi="Trebuchet MS"/>
        </w:rPr>
        <w:t xml:space="preserve">Zmiany w przepisach weszły w życie od lipca br., ale z punktu widzenia gminy w praktyce będą one dostrzegalne dopiero za trzy lata. Umowy o refundację stanowiącą pomoc de </w:t>
      </w:r>
      <w:proofErr w:type="spellStart"/>
      <w:r w:rsidRPr="00D77077">
        <w:rPr>
          <w:rFonts w:ascii="Trebuchet MS" w:hAnsi="Trebuchet MS"/>
        </w:rPr>
        <w:t>minimis</w:t>
      </w:r>
      <w:proofErr w:type="spellEnd"/>
      <w:r w:rsidRPr="00D77077">
        <w:rPr>
          <w:rFonts w:ascii="Trebuchet MS" w:hAnsi="Trebuchet MS"/>
        </w:rPr>
        <w:t xml:space="preserve"> zawierane są od 1 lipca br., natomiast do wszystkich umów zawartych z OHP przez tym dniem zastosowanie mają dotychczasowe przepisy (refundacja stanowi pomoc publiczna na szkolenia). Biorąc pod uwagę, że kształcenie pracowników młodocianych trwa trzy lata, a o dotację z gminy można się ubiegać po zakończeniu kształcenia, to pierwsze wnioski o dotację, co do których nie będzie trzeba badać intensywności pomocy trafią do gmin dopiero w 2017 r.</w:t>
      </w:r>
    </w:p>
    <w:p w:rsidR="00C929E3" w:rsidRPr="00D77077" w:rsidRDefault="00C929E3" w:rsidP="00C929E3">
      <w:pPr>
        <w:spacing w:line="360" w:lineRule="auto"/>
        <w:jc w:val="both"/>
        <w:rPr>
          <w:rFonts w:ascii="Trebuchet MS" w:hAnsi="Trebuchet MS"/>
        </w:rPr>
      </w:pPr>
    </w:p>
    <w:p w:rsidR="007D0C4F" w:rsidRPr="00D77077" w:rsidRDefault="0035473A" w:rsidP="00C929E3">
      <w:pPr>
        <w:spacing w:line="360" w:lineRule="auto"/>
        <w:jc w:val="both"/>
        <w:rPr>
          <w:rFonts w:ascii="Trebuchet MS" w:hAnsi="Trebuchet MS"/>
        </w:rPr>
      </w:pPr>
      <w:r w:rsidRPr="00D77077">
        <w:rPr>
          <w:rFonts w:ascii="Trebuchet MS" w:hAnsi="Trebuchet MS"/>
        </w:rPr>
        <w:t xml:space="preserve">Artykuł ukazał się </w:t>
      </w:r>
      <w:r w:rsidR="00C929E3" w:rsidRPr="00D77077">
        <w:rPr>
          <w:rFonts w:ascii="Trebuchet MS" w:hAnsi="Trebuchet MS"/>
        </w:rPr>
        <w:t>9 października</w:t>
      </w:r>
      <w:r w:rsidRPr="00D77077">
        <w:rPr>
          <w:rFonts w:ascii="Trebuchet MS" w:hAnsi="Trebuchet MS"/>
        </w:rPr>
        <w:t xml:space="preserve"> 2014 roku w Dzienniku Gazecie Prawnej.</w:t>
      </w:r>
    </w:p>
    <w:sectPr w:rsidR="007D0C4F" w:rsidRPr="00D77077" w:rsidSect="009D35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7E" w:rsidRDefault="005B707E" w:rsidP="007D0C4F">
      <w:pPr>
        <w:spacing w:after="0" w:line="240" w:lineRule="auto"/>
      </w:pPr>
      <w:r>
        <w:separator/>
      </w:r>
    </w:p>
  </w:endnote>
  <w:endnote w:type="continuationSeparator" w:id="0">
    <w:p w:rsidR="005B707E" w:rsidRDefault="005B707E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4F" w:rsidRDefault="006A0177">
    <w:pPr>
      <w:pStyle w:val="Stopka"/>
    </w:pPr>
    <w:r>
      <w:rPr>
        <w:noProof/>
      </w:rPr>
      <w:pict>
        <v:line id="Łącznik prostoliniowy 8" o:spid="_x0000_s2067" style="position:absolute;flip:y;z-index:-251656704;visibility:visibl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</w:rPr>
      <w:pict>
        <v:line id="Łącznik prostoliniowy 7" o:spid="_x0000_s2066" style="position:absolute;z-index:-251657728;visibility:visibl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 w:rsidR="00DE51D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17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6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14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inline distT="0" distB="0" distL="0" distR="0">
          <wp:extent cx="5743575" cy="704850"/>
          <wp:effectExtent l="1905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line id="Łącznik prostoliniowy 11" o:spid="_x0000_s2061" style="position:absolute;z-index:-251655680;visibility:visible;mso-position-horizontal-relative:text;mso-position-vertical-relative:text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7E" w:rsidRDefault="005B707E" w:rsidP="007D0C4F">
      <w:pPr>
        <w:spacing w:after="0" w:line="240" w:lineRule="auto"/>
      </w:pPr>
      <w:r>
        <w:separator/>
      </w:r>
    </w:p>
  </w:footnote>
  <w:footnote w:type="continuationSeparator" w:id="0">
    <w:p w:rsidR="005B707E" w:rsidRDefault="005B707E" w:rsidP="007D0C4F">
      <w:pPr>
        <w:spacing w:after="0" w:line="240" w:lineRule="auto"/>
      </w:pPr>
      <w:r>
        <w:continuationSeparator/>
      </w:r>
    </w:p>
  </w:footnote>
  <w:footnote w:id="1">
    <w:p w:rsidR="00C929E3" w:rsidRDefault="00C929E3" w:rsidP="00C929E3">
      <w:pPr>
        <w:pStyle w:val="Tekstprzypisudolnego"/>
        <w:jc w:val="both"/>
      </w:pPr>
      <w:r w:rsidRPr="005A17E3">
        <w:rPr>
          <w:rStyle w:val="Odwoanieprzypisudolnego"/>
        </w:rPr>
        <w:footnoteRef/>
      </w:r>
      <w:r w:rsidRPr="005A17E3">
        <w:t xml:space="preserve"> </w:t>
      </w:r>
      <w:r w:rsidRPr="00B1730F">
        <w:t>Zgodnie z art. 70b ustawy z dnia 7 września 1991 r. o systemie oświaty (Dz. U z 2004 r. Nr 256, poz. 2572 z późn.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4F" w:rsidRDefault="00F33748">
    <w:pPr>
      <w:pStyle w:val="Nagwek"/>
    </w:pPr>
    <w:r>
      <w:rPr>
        <w:noProof/>
        <w:lang w:eastAsia="pl-PL"/>
      </w:rPr>
      <w:drawing>
        <wp:inline distT="0" distB="0" distL="0" distR="0">
          <wp:extent cx="5760720" cy="7245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C4F" w:rsidRDefault="007D0C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F14"/>
    <w:multiLevelType w:val="hybridMultilevel"/>
    <w:tmpl w:val="51DCFA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6FE868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0751E"/>
    <w:multiLevelType w:val="hybridMultilevel"/>
    <w:tmpl w:val="AE1E5510"/>
    <w:lvl w:ilvl="0" w:tplc="54883AF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1" w:tplc="CAF00BB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834B4"/>
    <w:multiLevelType w:val="hybridMultilevel"/>
    <w:tmpl w:val="515E1C3E"/>
    <w:lvl w:ilvl="0" w:tplc="DC265CA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0C4F"/>
    <w:rsid w:val="00012D54"/>
    <w:rsid w:val="00016569"/>
    <w:rsid w:val="00017482"/>
    <w:rsid w:val="00022E7C"/>
    <w:rsid w:val="00026A24"/>
    <w:rsid w:val="00030CD0"/>
    <w:rsid w:val="0004211E"/>
    <w:rsid w:val="00051EAC"/>
    <w:rsid w:val="0007437C"/>
    <w:rsid w:val="00092304"/>
    <w:rsid w:val="00093DBA"/>
    <w:rsid w:val="000A2C50"/>
    <w:rsid w:val="000C773F"/>
    <w:rsid w:val="000D574C"/>
    <w:rsid w:val="00100542"/>
    <w:rsid w:val="00105274"/>
    <w:rsid w:val="00126CA0"/>
    <w:rsid w:val="0013114D"/>
    <w:rsid w:val="00132019"/>
    <w:rsid w:val="00140845"/>
    <w:rsid w:val="00151518"/>
    <w:rsid w:val="00155FB9"/>
    <w:rsid w:val="00163EAC"/>
    <w:rsid w:val="0016739E"/>
    <w:rsid w:val="00182992"/>
    <w:rsid w:val="00183244"/>
    <w:rsid w:val="001961A5"/>
    <w:rsid w:val="001C35F4"/>
    <w:rsid w:val="001E2BEA"/>
    <w:rsid w:val="0024748F"/>
    <w:rsid w:val="00291D7D"/>
    <w:rsid w:val="00292D69"/>
    <w:rsid w:val="00315ED2"/>
    <w:rsid w:val="00317E8E"/>
    <w:rsid w:val="003372BB"/>
    <w:rsid w:val="0035473A"/>
    <w:rsid w:val="003879DD"/>
    <w:rsid w:val="003B7D5B"/>
    <w:rsid w:val="003F08A3"/>
    <w:rsid w:val="00406848"/>
    <w:rsid w:val="0042778A"/>
    <w:rsid w:val="004348B2"/>
    <w:rsid w:val="00451CBA"/>
    <w:rsid w:val="0045538F"/>
    <w:rsid w:val="00460353"/>
    <w:rsid w:val="00476FFA"/>
    <w:rsid w:val="0048559E"/>
    <w:rsid w:val="004868C9"/>
    <w:rsid w:val="004B426E"/>
    <w:rsid w:val="004C0709"/>
    <w:rsid w:val="004C49B4"/>
    <w:rsid w:val="004D314B"/>
    <w:rsid w:val="004E031B"/>
    <w:rsid w:val="00513BC0"/>
    <w:rsid w:val="005232F6"/>
    <w:rsid w:val="005925A5"/>
    <w:rsid w:val="00595CE5"/>
    <w:rsid w:val="005B69F5"/>
    <w:rsid w:val="005B707E"/>
    <w:rsid w:val="005C1CDA"/>
    <w:rsid w:val="005C343C"/>
    <w:rsid w:val="005D1012"/>
    <w:rsid w:val="005D3300"/>
    <w:rsid w:val="0060283A"/>
    <w:rsid w:val="00611467"/>
    <w:rsid w:val="006148D0"/>
    <w:rsid w:val="00677266"/>
    <w:rsid w:val="006818FB"/>
    <w:rsid w:val="006A0177"/>
    <w:rsid w:val="006A0C1C"/>
    <w:rsid w:val="006A2870"/>
    <w:rsid w:val="006D3043"/>
    <w:rsid w:val="006D3B02"/>
    <w:rsid w:val="006F005D"/>
    <w:rsid w:val="00710EE8"/>
    <w:rsid w:val="00712A79"/>
    <w:rsid w:val="007331BE"/>
    <w:rsid w:val="00771009"/>
    <w:rsid w:val="00771F7B"/>
    <w:rsid w:val="00775CAA"/>
    <w:rsid w:val="007834C6"/>
    <w:rsid w:val="0078584A"/>
    <w:rsid w:val="0079506D"/>
    <w:rsid w:val="007A36EB"/>
    <w:rsid w:val="007A63D6"/>
    <w:rsid w:val="007B695B"/>
    <w:rsid w:val="007C214F"/>
    <w:rsid w:val="007D0C4F"/>
    <w:rsid w:val="007E3D3A"/>
    <w:rsid w:val="00804203"/>
    <w:rsid w:val="00812B5D"/>
    <w:rsid w:val="00857C6A"/>
    <w:rsid w:val="00864CE9"/>
    <w:rsid w:val="00890B43"/>
    <w:rsid w:val="00897DC2"/>
    <w:rsid w:val="008B4D4A"/>
    <w:rsid w:val="008E065D"/>
    <w:rsid w:val="008E0688"/>
    <w:rsid w:val="0091679A"/>
    <w:rsid w:val="00957460"/>
    <w:rsid w:val="00957A9E"/>
    <w:rsid w:val="0098596A"/>
    <w:rsid w:val="009976D7"/>
    <w:rsid w:val="00997E38"/>
    <w:rsid w:val="009B03AA"/>
    <w:rsid w:val="009B241C"/>
    <w:rsid w:val="009B3824"/>
    <w:rsid w:val="009B6361"/>
    <w:rsid w:val="009D3594"/>
    <w:rsid w:val="009E309A"/>
    <w:rsid w:val="00A01E8F"/>
    <w:rsid w:val="00A555D0"/>
    <w:rsid w:val="00A85A25"/>
    <w:rsid w:val="00A90FE6"/>
    <w:rsid w:val="00A96BD9"/>
    <w:rsid w:val="00A974D8"/>
    <w:rsid w:val="00AA1C0B"/>
    <w:rsid w:val="00AC3F4F"/>
    <w:rsid w:val="00AE1027"/>
    <w:rsid w:val="00AE46FA"/>
    <w:rsid w:val="00AF3430"/>
    <w:rsid w:val="00B011BF"/>
    <w:rsid w:val="00B05144"/>
    <w:rsid w:val="00B224DD"/>
    <w:rsid w:val="00B31A3A"/>
    <w:rsid w:val="00B36ECF"/>
    <w:rsid w:val="00B653E2"/>
    <w:rsid w:val="00B67DAA"/>
    <w:rsid w:val="00B81DB4"/>
    <w:rsid w:val="00BA17CC"/>
    <w:rsid w:val="00BB2848"/>
    <w:rsid w:val="00BB52C8"/>
    <w:rsid w:val="00BB6C69"/>
    <w:rsid w:val="00BC306A"/>
    <w:rsid w:val="00BE3F0D"/>
    <w:rsid w:val="00BF6E01"/>
    <w:rsid w:val="00C2388B"/>
    <w:rsid w:val="00C31CAC"/>
    <w:rsid w:val="00C74960"/>
    <w:rsid w:val="00C841D5"/>
    <w:rsid w:val="00C929E3"/>
    <w:rsid w:val="00C92EFE"/>
    <w:rsid w:val="00CA4E90"/>
    <w:rsid w:val="00CA6527"/>
    <w:rsid w:val="00CD3FCC"/>
    <w:rsid w:val="00CE43C7"/>
    <w:rsid w:val="00CF51A2"/>
    <w:rsid w:val="00D061B2"/>
    <w:rsid w:val="00D465D4"/>
    <w:rsid w:val="00D77077"/>
    <w:rsid w:val="00DA7302"/>
    <w:rsid w:val="00DB645E"/>
    <w:rsid w:val="00DE51D7"/>
    <w:rsid w:val="00DF4392"/>
    <w:rsid w:val="00E22E69"/>
    <w:rsid w:val="00E23FCB"/>
    <w:rsid w:val="00E30827"/>
    <w:rsid w:val="00E31AA5"/>
    <w:rsid w:val="00E513A9"/>
    <w:rsid w:val="00E759FA"/>
    <w:rsid w:val="00E90A0F"/>
    <w:rsid w:val="00E93697"/>
    <w:rsid w:val="00EB6ECC"/>
    <w:rsid w:val="00EE196B"/>
    <w:rsid w:val="00F03A95"/>
    <w:rsid w:val="00F04F47"/>
    <w:rsid w:val="00F05594"/>
    <w:rsid w:val="00F07398"/>
    <w:rsid w:val="00F16F43"/>
    <w:rsid w:val="00F25E56"/>
    <w:rsid w:val="00F33748"/>
    <w:rsid w:val="00F35DDA"/>
    <w:rsid w:val="00F609BD"/>
    <w:rsid w:val="00F72521"/>
    <w:rsid w:val="00FA5856"/>
    <w:rsid w:val="00FD27E2"/>
    <w:rsid w:val="00FD5E3B"/>
    <w:rsid w:val="00FF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eastAsia="Times New Roman" w:hAnsi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7D0C4F"/>
    <w:rPr>
      <w:rFonts w:ascii="Georgia" w:eastAsia="Times New Roman" w:hAnsi="Georgia" w:cs="Georgia"/>
      <w:kern w:val="16"/>
      <w:sz w:val="24"/>
      <w:szCs w:val="24"/>
      <w:lang w:val="en-US" w:eastAsia="pl-PL"/>
    </w:rPr>
  </w:style>
  <w:style w:type="character" w:styleId="Uwydatnienie">
    <w:name w:val="Emphasis"/>
    <w:uiPriority w:val="20"/>
    <w:qFormat/>
    <w:rsid w:val="007D0C4F"/>
    <w:rPr>
      <w:i/>
      <w:iCs/>
    </w:rPr>
  </w:style>
  <w:style w:type="character" w:styleId="Pogrubienie">
    <w:name w:val="Strong"/>
    <w:uiPriority w:val="22"/>
    <w:qFormat/>
    <w:rsid w:val="007D0C4F"/>
    <w:rPr>
      <w:b/>
      <w:bCs/>
    </w:rPr>
  </w:style>
  <w:style w:type="paragraph" w:customStyle="1" w:styleId="tekstkomunikatu0">
    <w:name w:val="tekstkomunikatu"/>
    <w:basedOn w:val="Normalny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C4F"/>
  </w:style>
  <w:style w:type="paragraph" w:styleId="Nagwek">
    <w:name w:val="header"/>
    <w:basedOn w:val="Normalny"/>
    <w:link w:val="Nagwek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4F"/>
  </w:style>
  <w:style w:type="paragraph" w:styleId="Stopka">
    <w:name w:val="footer"/>
    <w:basedOn w:val="Normalny"/>
    <w:link w:val="Stopka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4F"/>
  </w:style>
  <w:style w:type="paragraph" w:styleId="Tekstdymka">
    <w:name w:val="Balloon Text"/>
    <w:basedOn w:val="Normalny"/>
    <w:link w:val="TekstdymkaZnak"/>
    <w:uiPriority w:val="99"/>
    <w:semiHidden/>
    <w:unhideWhenUsed/>
    <w:rsid w:val="007D0C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C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005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A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A3A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fn,Schriftart: 9 pt,Schriftart: 10 pt,Schriftart: 8 pt,WB-Fußnotentext,Schriftart,9 pt,10 pt,8 pt,Podrozdział,Footnote,Podrozdzia3,-E Fuﬂnotentext,Fuﬂnotentext Ursprung,Fußnotentext Ursprung,-E Fußnotentext,Footnote text,Fußnote"/>
    <w:basedOn w:val="Normalny"/>
    <w:link w:val="TekstprzypisudolnegoZnak"/>
    <w:semiHidden/>
    <w:rsid w:val="00B011BF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aliases w:val="fn Znak,Schriftart: 9 pt Znak,Schriftart: 10 pt Znak,Schriftart: 8 pt Znak,WB-Fußnotentext Znak,Schriftart Znak,9 pt Znak,10 pt Znak,8 pt Znak,Podrozdział Znak,Footnote Znak,Podrozdzia3 Znak,-E Fuﬂnotentext Znak,Fußnote Znak"/>
    <w:basedOn w:val="Domylnaczcionkaakapitu"/>
    <w:link w:val="Tekstprzypisudolnego"/>
    <w:semiHidden/>
    <w:rsid w:val="00B011BF"/>
    <w:rPr>
      <w:rFonts w:ascii="Times New Roman" w:eastAsia="Times New Roman" w:hAnsi="Times New Roman"/>
      <w:noProof/>
    </w:rPr>
  </w:style>
  <w:style w:type="character" w:styleId="Odwoanieprzypisudolnego">
    <w:name w:val="footnote reference"/>
    <w:aliases w:val="Footnote Reference Number"/>
    <w:semiHidden/>
    <w:rsid w:val="00B011BF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B011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1BF"/>
    <w:rPr>
      <w:rFonts w:ascii="Times New Roman" w:eastAsia="Times New Roman" w:hAnsi="Times New Roman"/>
      <w:sz w:val="16"/>
      <w:szCs w:val="16"/>
    </w:rPr>
  </w:style>
  <w:style w:type="paragraph" w:customStyle="1" w:styleId="ZnakZnak">
    <w:name w:val="Znak Znak"/>
    <w:basedOn w:val="Normalny"/>
    <w:rsid w:val="00B011B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Dopoziomu1">
    <w:name w:val="Do poziomu 1"/>
    <w:rsid w:val="00B011BF"/>
    <w:rPr>
      <w:rFonts w:ascii="Courier" w:eastAsia="Times New Roman" w:hAnsi="Courier"/>
      <w:b/>
      <w:color w:val="000000"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AAA1D-37E0-44DB-9686-62F8EAA4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creator>Agnieszka Jaczyńska</dc:creator>
  <cp:lastModifiedBy>amajchrzak</cp:lastModifiedBy>
  <cp:revision>15</cp:revision>
  <cp:lastPrinted>2014-08-18T13:14:00Z</cp:lastPrinted>
  <dcterms:created xsi:type="dcterms:W3CDTF">2014-09-04T08:07:00Z</dcterms:created>
  <dcterms:modified xsi:type="dcterms:W3CDTF">2014-10-09T08:57:00Z</dcterms:modified>
</cp:coreProperties>
</file>