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11" w:rsidRPr="0015451E" w:rsidRDefault="00F24511" w:rsidP="0015451E">
      <w:pPr>
        <w:pStyle w:val="NormalnyWeb"/>
        <w:spacing w:after="240" w:afterAutospacing="0" w:line="360" w:lineRule="auto"/>
        <w:ind w:right="23"/>
        <w:jc w:val="both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>UOKiK</w:t>
      </w:r>
      <w:r w:rsidRPr="0015451E">
        <w:rPr>
          <w:rFonts w:ascii="Trebuchet MS" w:hAnsi="Trebuchet MS" w:cs="Tahoma"/>
          <w:sz w:val="32"/>
          <w:szCs w:val="32"/>
        </w:rPr>
        <w:t xml:space="preserve"> A PRAWO FARMACEUTYCZNE </w:t>
      </w:r>
    </w:p>
    <w:p w:rsidR="00F24511" w:rsidRPr="0015451E" w:rsidRDefault="00F24511" w:rsidP="0015451E">
      <w:pPr>
        <w:spacing w:after="240" w:line="360" w:lineRule="auto"/>
        <w:jc w:val="both"/>
        <w:rPr>
          <w:rFonts w:ascii="Trebuchet MS" w:hAnsi="Trebuchet MS"/>
          <w:b/>
        </w:rPr>
      </w:pPr>
      <w:r w:rsidRPr="0015451E">
        <w:rPr>
          <w:rFonts w:ascii="Trebuchet MS" w:hAnsi="Trebuchet MS"/>
          <w:b/>
        </w:rPr>
        <w:t xml:space="preserve">W ostatnim czasie w prasie pojawiło się </w:t>
      </w:r>
      <w:r>
        <w:rPr>
          <w:rFonts w:ascii="Trebuchet MS" w:hAnsi="Trebuchet MS"/>
          <w:b/>
        </w:rPr>
        <w:t>kilka</w:t>
      </w:r>
      <w:r w:rsidRPr="0015451E">
        <w:rPr>
          <w:rFonts w:ascii="Trebuchet MS" w:hAnsi="Trebuchet MS"/>
          <w:b/>
        </w:rPr>
        <w:t xml:space="preserve"> artykułów dotyczących </w:t>
      </w:r>
      <w:r>
        <w:rPr>
          <w:rFonts w:ascii="Trebuchet MS" w:hAnsi="Trebuchet MS"/>
          <w:b/>
        </w:rPr>
        <w:t xml:space="preserve">wzajemnych relacji pomiędzy prawem ochrony konkurencji a prawem </w:t>
      </w:r>
      <w:r w:rsidRPr="0015451E">
        <w:rPr>
          <w:rFonts w:ascii="Trebuchet MS" w:hAnsi="Trebuchet MS"/>
          <w:b/>
        </w:rPr>
        <w:t>farmaceutyczn</w:t>
      </w:r>
      <w:r>
        <w:rPr>
          <w:rFonts w:ascii="Trebuchet MS" w:hAnsi="Trebuchet MS"/>
          <w:b/>
        </w:rPr>
        <w:t>ym</w:t>
      </w:r>
      <w:r w:rsidRPr="0015451E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</w:rPr>
        <w:t>P</w:t>
      </w:r>
      <w:r w:rsidRPr="0015451E">
        <w:rPr>
          <w:rFonts w:ascii="Trebuchet MS" w:hAnsi="Trebuchet MS"/>
          <w:b/>
        </w:rPr>
        <w:t xml:space="preserve">onieważ w niektórych z nich błędnie </w:t>
      </w:r>
      <w:r>
        <w:rPr>
          <w:rFonts w:ascii="Trebuchet MS" w:hAnsi="Trebuchet MS"/>
          <w:b/>
        </w:rPr>
        <w:t>określano</w:t>
      </w:r>
      <w:r w:rsidRPr="0015451E">
        <w:rPr>
          <w:rFonts w:ascii="Trebuchet MS" w:hAnsi="Trebuchet MS"/>
          <w:b/>
        </w:rPr>
        <w:t xml:space="preserve"> rolę UOKiK</w:t>
      </w:r>
      <w:r>
        <w:rPr>
          <w:rFonts w:ascii="Trebuchet MS" w:hAnsi="Trebuchet MS"/>
          <w:b/>
        </w:rPr>
        <w:t xml:space="preserve">, warto przypomnieć, </w:t>
      </w:r>
      <w:r w:rsidRPr="0015451E">
        <w:rPr>
          <w:rFonts w:ascii="Trebuchet MS" w:hAnsi="Trebuchet MS"/>
          <w:b/>
        </w:rPr>
        <w:t>jakie działania na rynku farmaceutycznym może podejmować Urząd i jakimi przepisami się kieruje</w:t>
      </w:r>
    </w:p>
    <w:p w:rsidR="00F24511" w:rsidRDefault="00F24511" w:rsidP="0015451E">
      <w:pPr>
        <w:pStyle w:val="Default"/>
        <w:spacing w:after="24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[Warszawa, 3 grudnia</w:t>
      </w:r>
      <w:r w:rsidRPr="0015451E">
        <w:rPr>
          <w:b/>
          <w:bCs/>
          <w:sz w:val="22"/>
          <w:szCs w:val="22"/>
        </w:rPr>
        <w:t xml:space="preserve"> 2015 r.] </w:t>
      </w:r>
      <w:r w:rsidRPr="00655005">
        <w:rPr>
          <w:bCs/>
          <w:sz w:val="22"/>
          <w:szCs w:val="22"/>
        </w:rPr>
        <w:t>Dyskusje i spory w środowisku farmaceutów i prawników wywołało orzeczenie Wojewódzkiego Sądu Administracyjnego</w:t>
      </w:r>
      <w:r>
        <w:rPr>
          <w:bCs/>
          <w:sz w:val="22"/>
          <w:szCs w:val="22"/>
        </w:rPr>
        <w:t xml:space="preserve"> z 23 lipca 2015 r. sygn. VI SA/</w:t>
      </w:r>
      <w:proofErr w:type="spellStart"/>
      <w:r>
        <w:rPr>
          <w:bCs/>
          <w:sz w:val="22"/>
          <w:szCs w:val="22"/>
        </w:rPr>
        <w:t>Wa</w:t>
      </w:r>
      <w:proofErr w:type="spellEnd"/>
      <w:r>
        <w:rPr>
          <w:bCs/>
          <w:sz w:val="22"/>
          <w:szCs w:val="22"/>
        </w:rPr>
        <w:t xml:space="preserve"> 399/15, dotyczące interpretacji art. 99 ust. 3 prawa farmaceutycznego, </w:t>
      </w:r>
      <w:r>
        <w:rPr>
          <w:sz w:val="22"/>
          <w:szCs w:val="22"/>
        </w:rPr>
        <w:t>z</w:t>
      </w:r>
      <w:r w:rsidRPr="0015451E">
        <w:rPr>
          <w:sz w:val="22"/>
          <w:szCs w:val="22"/>
        </w:rPr>
        <w:t>akazuj</w:t>
      </w:r>
      <w:r>
        <w:rPr>
          <w:sz w:val="22"/>
          <w:szCs w:val="22"/>
        </w:rPr>
        <w:t xml:space="preserve">ącego </w:t>
      </w:r>
      <w:r w:rsidRPr="0015451E">
        <w:rPr>
          <w:sz w:val="22"/>
          <w:szCs w:val="22"/>
        </w:rPr>
        <w:t>wydania zezwolenia na otwarcie apteki, jeżeli przedsiębiorca</w:t>
      </w:r>
      <w:r>
        <w:rPr>
          <w:sz w:val="22"/>
          <w:szCs w:val="22"/>
        </w:rPr>
        <w:t xml:space="preserve"> oraz</w:t>
      </w:r>
      <w:r w:rsidRPr="0015451E">
        <w:rPr>
          <w:sz w:val="22"/>
          <w:szCs w:val="22"/>
        </w:rPr>
        <w:t xml:space="preserve"> kontrolowane przez niego podmioty lub grupa kapitałowa</w:t>
      </w:r>
      <w:r>
        <w:rPr>
          <w:sz w:val="22"/>
          <w:szCs w:val="22"/>
        </w:rPr>
        <w:t>,</w:t>
      </w:r>
      <w:r w:rsidRPr="0015451E">
        <w:rPr>
          <w:sz w:val="22"/>
          <w:szCs w:val="22"/>
        </w:rPr>
        <w:t xml:space="preserve"> do której należy</w:t>
      </w:r>
      <w:r>
        <w:rPr>
          <w:sz w:val="22"/>
          <w:szCs w:val="22"/>
        </w:rPr>
        <w:t>,</w:t>
      </w:r>
      <w:r w:rsidRPr="0015451E">
        <w:rPr>
          <w:sz w:val="22"/>
          <w:szCs w:val="22"/>
        </w:rPr>
        <w:t xml:space="preserve"> prowadzą więcej niż 1 proc. aptek na terenie danego województwa</w:t>
      </w:r>
      <w:r>
        <w:rPr>
          <w:sz w:val="22"/>
          <w:szCs w:val="22"/>
        </w:rPr>
        <w:t xml:space="preserve">. </w:t>
      </w:r>
    </w:p>
    <w:p w:rsidR="00F24511" w:rsidRDefault="00F24511" w:rsidP="0015451E">
      <w:pPr>
        <w:pStyle w:val="Default"/>
        <w:spacing w:after="240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Warto na wstępie zaznaczyć, że istotą sporu było rozstrzygnięcie przez Sąd, czy powołany artykuł w obecnym brzmieniu daje podstawę wyłącznie do </w:t>
      </w:r>
      <w:r w:rsidRPr="00F63858">
        <w:rPr>
          <w:b/>
          <w:bCs/>
          <w:sz w:val="22"/>
          <w:szCs w:val="22"/>
        </w:rPr>
        <w:t>odmowy udzielenia zezwolenia</w:t>
      </w:r>
      <w:r>
        <w:rPr>
          <w:bCs/>
          <w:sz w:val="22"/>
          <w:szCs w:val="22"/>
        </w:rPr>
        <w:t xml:space="preserve"> na prowadzenie apteki, czy także do </w:t>
      </w:r>
      <w:r w:rsidRPr="00F63858">
        <w:rPr>
          <w:b/>
          <w:bCs/>
          <w:sz w:val="22"/>
          <w:szCs w:val="22"/>
        </w:rPr>
        <w:t>cofnięcia</w:t>
      </w:r>
      <w:r>
        <w:rPr>
          <w:bCs/>
          <w:sz w:val="22"/>
          <w:szCs w:val="22"/>
        </w:rPr>
        <w:t xml:space="preserve"> udzielonego wcześniej zezwolenia. W ocenie Sądu interpretacja tego przepisu pozwala zarówno na odmowę udzielenia </w:t>
      </w:r>
      <w:r w:rsidRPr="00D5049A">
        <w:rPr>
          <w:bCs/>
          <w:sz w:val="22"/>
          <w:szCs w:val="22"/>
        </w:rPr>
        <w:t xml:space="preserve">zezwolenia, jak i na cofnięcie </w:t>
      </w:r>
      <w:r w:rsidRPr="00D5049A">
        <w:rPr>
          <w:sz w:val="22"/>
          <w:szCs w:val="22"/>
        </w:rPr>
        <w:t xml:space="preserve">wydanego wcześniej pozwolenia na prowadzenie apteki. </w:t>
      </w:r>
      <w:r w:rsidRPr="00D5049A">
        <w:rPr>
          <w:bCs/>
          <w:sz w:val="22"/>
          <w:szCs w:val="22"/>
        </w:rPr>
        <w:t>Sąd stwierdził, że „</w:t>
      </w:r>
      <w:r w:rsidRPr="00D5049A">
        <w:rPr>
          <w:bCs/>
          <w:i/>
          <w:sz w:val="22"/>
          <w:szCs w:val="22"/>
        </w:rPr>
        <w:t>celem wprowadzenia art. 99 ust. 3 prawa farmaceutycznego było zapobieżenie kartelizacji rynku aptecznego na terenie Polski</w:t>
      </w:r>
      <w:r>
        <w:rPr>
          <w:bCs/>
          <w:sz w:val="22"/>
          <w:szCs w:val="22"/>
        </w:rPr>
        <w:t xml:space="preserve">” i to – pomimo braku w przepisie wskazania wprost, że dotyczy to także cofnięcia zezwolenia - uzasadnia przyjęcie wykładni rozszerzającej. </w:t>
      </w:r>
      <w:r>
        <w:rPr>
          <w:sz w:val="22"/>
          <w:szCs w:val="22"/>
        </w:rPr>
        <w:t xml:space="preserve"> </w:t>
      </w:r>
    </w:p>
    <w:p w:rsidR="00F24511" w:rsidRDefault="00F24511" w:rsidP="00D06276">
      <w:pPr>
        <w:spacing w:after="240" w:line="360" w:lineRule="auto"/>
        <w:jc w:val="both"/>
        <w:rPr>
          <w:rFonts w:ascii="Trebuchet MS" w:hAnsi="Trebuchet MS"/>
        </w:rPr>
      </w:pPr>
      <w:r w:rsidRPr="00CA0A67">
        <w:rPr>
          <w:rFonts w:ascii="Trebuchet MS" w:hAnsi="Trebuchet MS"/>
        </w:rPr>
        <w:t xml:space="preserve">Abstrahując od </w:t>
      </w:r>
      <w:r>
        <w:rPr>
          <w:rFonts w:ascii="Trebuchet MS" w:hAnsi="Trebuchet MS"/>
        </w:rPr>
        <w:t>o</w:t>
      </w:r>
      <w:r w:rsidRPr="00CA0A67">
        <w:rPr>
          <w:rFonts w:ascii="Trebuchet MS" w:hAnsi="Trebuchet MS"/>
        </w:rPr>
        <w:t xml:space="preserve">ceny </w:t>
      </w:r>
      <w:r>
        <w:rPr>
          <w:rFonts w:ascii="Trebuchet MS" w:hAnsi="Trebuchet MS"/>
        </w:rPr>
        <w:t xml:space="preserve">prawidłowości </w:t>
      </w:r>
      <w:r w:rsidRPr="00CA0A67">
        <w:rPr>
          <w:rFonts w:ascii="Trebuchet MS" w:hAnsi="Trebuchet MS"/>
        </w:rPr>
        <w:t>stanowiska Sądu, Urząd pragnie ponownie zwrócić uwagę na fakt, że działa na podstawie ustawy o ochronie konkurencji i konsumentów</w:t>
      </w:r>
      <w:r>
        <w:rPr>
          <w:rFonts w:ascii="Trebuchet MS" w:hAnsi="Trebuchet MS"/>
        </w:rPr>
        <w:t xml:space="preserve">. </w:t>
      </w:r>
      <w:r w:rsidRPr="0015451E">
        <w:rPr>
          <w:rFonts w:ascii="Trebuchet MS" w:hAnsi="Trebuchet MS"/>
        </w:rPr>
        <w:t xml:space="preserve">Rozróżnienie przepisów ochrony konkurencji i prawa farmaceutycznego bardzo wyraźnie zostało opisane w streszczeniu raportu dotyczącego detalicznej sprzedaży leków, który został opublikowany w maju 2015 r. </w:t>
      </w:r>
      <w:r>
        <w:rPr>
          <w:rFonts w:ascii="Trebuchet MS" w:hAnsi="Trebuchet MS"/>
        </w:rPr>
        <w:t>W</w:t>
      </w:r>
      <w:r w:rsidRPr="0015451E">
        <w:rPr>
          <w:rFonts w:ascii="Trebuchet MS" w:hAnsi="Trebuchet MS"/>
        </w:rPr>
        <w:t>brew tezie jednego z artykułów</w:t>
      </w:r>
      <w:r>
        <w:rPr>
          <w:rFonts w:ascii="Trebuchet MS" w:hAnsi="Trebuchet MS"/>
        </w:rPr>
        <w:t>,</w:t>
      </w:r>
      <w:r w:rsidRPr="0015451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opublikowanie wyników </w:t>
      </w:r>
      <w:r w:rsidRPr="0015451E">
        <w:rPr>
          <w:rFonts w:ascii="Trebuchet MS" w:hAnsi="Trebuchet MS"/>
        </w:rPr>
        <w:t>raport</w:t>
      </w:r>
      <w:r>
        <w:rPr>
          <w:rFonts w:ascii="Trebuchet MS" w:hAnsi="Trebuchet MS"/>
        </w:rPr>
        <w:t>u</w:t>
      </w:r>
      <w:r w:rsidRPr="0015451E">
        <w:rPr>
          <w:rFonts w:ascii="Trebuchet MS" w:hAnsi="Trebuchet MS"/>
        </w:rPr>
        <w:t xml:space="preserve"> nie oznacz</w:t>
      </w:r>
      <w:r>
        <w:rPr>
          <w:rFonts w:ascii="Trebuchet MS" w:hAnsi="Trebuchet MS"/>
        </w:rPr>
        <w:t>a, ż</w:t>
      </w:r>
      <w:r w:rsidRPr="0015451E">
        <w:rPr>
          <w:rFonts w:ascii="Trebuchet MS" w:hAnsi="Trebuchet MS"/>
        </w:rPr>
        <w:t>e Prezes UOKiK „</w:t>
      </w:r>
      <w:r w:rsidRPr="00133034">
        <w:rPr>
          <w:rFonts w:ascii="Trebuchet MS" w:hAnsi="Trebuchet MS"/>
          <w:i/>
        </w:rPr>
        <w:t>zabrał głos</w:t>
      </w:r>
      <w:r w:rsidRPr="0015451E">
        <w:rPr>
          <w:rFonts w:ascii="Trebuchet MS" w:hAnsi="Trebuchet MS"/>
        </w:rPr>
        <w:t>” w sprawie przepisów prawa farmaceutycznego. Prowadzenie badań rynku jest standardowym działaniem Urzędu, wymienionym w ustawie o ochronie konkurencji</w:t>
      </w:r>
      <w:r>
        <w:rPr>
          <w:rFonts w:ascii="Trebuchet MS" w:hAnsi="Trebuchet MS"/>
        </w:rPr>
        <w:t xml:space="preserve"> i konsumentów i </w:t>
      </w:r>
      <w:r w:rsidRPr="0015451E">
        <w:rPr>
          <w:rFonts w:ascii="Trebuchet MS" w:hAnsi="Trebuchet MS"/>
        </w:rPr>
        <w:t xml:space="preserve">dotyczą </w:t>
      </w:r>
      <w:r>
        <w:rPr>
          <w:rFonts w:ascii="Trebuchet MS" w:hAnsi="Trebuchet MS"/>
        </w:rPr>
        <w:t xml:space="preserve">one </w:t>
      </w:r>
      <w:r w:rsidRPr="0015451E">
        <w:rPr>
          <w:rFonts w:ascii="Trebuchet MS" w:hAnsi="Trebuchet MS"/>
        </w:rPr>
        <w:t>wielu rynków</w:t>
      </w:r>
      <w:r>
        <w:rPr>
          <w:rFonts w:ascii="Trebuchet MS" w:hAnsi="Trebuchet MS"/>
        </w:rPr>
        <w:t xml:space="preserve">. </w:t>
      </w:r>
    </w:p>
    <w:p w:rsidR="00F24511" w:rsidRDefault="00F24511" w:rsidP="00350FFF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 tym przypadku przedmiotem badania był </w:t>
      </w:r>
      <w:r w:rsidRPr="00F63858">
        <w:rPr>
          <w:rFonts w:ascii="Trebuchet MS" w:hAnsi="Trebuchet MS"/>
          <w:b/>
        </w:rPr>
        <w:t>rynek sprzedaży detalicznej leków</w:t>
      </w:r>
      <w:r w:rsidRPr="0015451E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UOKiK</w:t>
      </w:r>
      <w:r w:rsidRPr="0015451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analizował w nim m.in.</w:t>
      </w:r>
      <w:r w:rsidRPr="0015451E">
        <w:rPr>
          <w:rFonts w:ascii="Trebuchet MS" w:hAnsi="Trebuchet MS"/>
        </w:rPr>
        <w:t xml:space="preserve"> sposób regulacji wykonywania działalności gospodarczej farmaceutów, nie </w:t>
      </w:r>
      <w:r>
        <w:rPr>
          <w:rFonts w:ascii="Trebuchet MS" w:hAnsi="Trebuchet MS"/>
        </w:rPr>
        <w:t xml:space="preserve">formułując przy tym opinii na temat przepisów prawa farmaceutycznego. </w:t>
      </w:r>
    </w:p>
    <w:p w:rsidR="00F24511" w:rsidRPr="0015451E" w:rsidRDefault="00F24511" w:rsidP="00133034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Wiązanie działalności UOKiK z tym orzeczeniem jest także chybione o tyle, że w</w:t>
      </w:r>
      <w:r w:rsidRPr="0015451E">
        <w:rPr>
          <w:rFonts w:ascii="Trebuchet MS" w:hAnsi="Trebuchet MS"/>
        </w:rPr>
        <w:t xml:space="preserve">ydając decyzję w sprawach kontroli koncentracji Urząd bada stan </w:t>
      </w:r>
      <w:r>
        <w:rPr>
          <w:rFonts w:ascii="Trebuchet MS" w:hAnsi="Trebuchet MS"/>
        </w:rPr>
        <w:t>konkurencji na danym rynku</w:t>
      </w:r>
      <w:r w:rsidRPr="0015451E">
        <w:rPr>
          <w:rFonts w:ascii="Trebuchet MS" w:hAnsi="Trebuchet MS"/>
        </w:rPr>
        <w:t xml:space="preserve"> na podstawie ustawy o ochro</w:t>
      </w:r>
      <w:r>
        <w:rPr>
          <w:rFonts w:ascii="Trebuchet MS" w:hAnsi="Trebuchet MS"/>
        </w:rPr>
        <w:t>nie konkurencji i konsumentów, a nie prawa farmaceutycznego. Może więc zakazać transakcji wyłącznie wtedy</w:t>
      </w:r>
      <w:r w:rsidRPr="0015451E">
        <w:rPr>
          <w:rFonts w:ascii="Trebuchet MS" w:hAnsi="Trebuchet MS"/>
        </w:rPr>
        <w:t>, jeżeli dojdzie do istotnego ograniczenia konkurencji, w szczególności poprze</w:t>
      </w:r>
      <w:r>
        <w:rPr>
          <w:rFonts w:ascii="Trebuchet MS" w:hAnsi="Trebuchet MS"/>
        </w:rPr>
        <w:t>z po</w:t>
      </w:r>
      <w:bookmarkStart w:id="0" w:name="_GoBack"/>
      <w:bookmarkEnd w:id="0"/>
      <w:r>
        <w:rPr>
          <w:rFonts w:ascii="Trebuchet MS" w:hAnsi="Trebuchet MS"/>
        </w:rPr>
        <w:t>wstanie pozycji dominującej na rynku właściwym.</w:t>
      </w:r>
      <w:r w:rsidRPr="00350FFF">
        <w:rPr>
          <w:rFonts w:ascii="Trebuchet MS" w:hAnsi="Trebuchet MS"/>
        </w:rPr>
        <w:t xml:space="preserve"> </w:t>
      </w:r>
      <w:r w:rsidRPr="0015451E">
        <w:rPr>
          <w:rFonts w:ascii="Trebuchet MS" w:hAnsi="Trebuchet MS"/>
        </w:rPr>
        <w:t>W każdej sprawie</w:t>
      </w:r>
      <w:r>
        <w:rPr>
          <w:rFonts w:ascii="Trebuchet MS" w:hAnsi="Trebuchet MS"/>
        </w:rPr>
        <w:t xml:space="preserve"> UOKIK wyznacza</w:t>
      </w:r>
      <w:r w:rsidRPr="0015451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zatem </w:t>
      </w:r>
      <w:r w:rsidRPr="0015451E">
        <w:rPr>
          <w:rFonts w:ascii="Trebuchet MS" w:hAnsi="Trebuchet MS"/>
        </w:rPr>
        <w:t xml:space="preserve">rynek </w:t>
      </w:r>
      <w:r>
        <w:rPr>
          <w:rFonts w:ascii="Trebuchet MS" w:hAnsi="Trebuchet MS"/>
        </w:rPr>
        <w:t>dla danej konkretnej sprawy. W</w:t>
      </w:r>
      <w:r w:rsidRPr="0015451E">
        <w:rPr>
          <w:rFonts w:ascii="Trebuchet MS" w:hAnsi="Trebuchet MS"/>
        </w:rPr>
        <w:t xml:space="preserve"> przypadku koncentracji pomiędzy aptekami są to </w:t>
      </w:r>
      <w:r w:rsidRPr="00F63858">
        <w:rPr>
          <w:rFonts w:ascii="Trebuchet MS" w:hAnsi="Trebuchet MS"/>
          <w:b/>
        </w:rPr>
        <w:t>rynki lokalne</w:t>
      </w:r>
      <w:r w:rsidRPr="0015451E">
        <w:rPr>
          <w:rFonts w:ascii="Trebuchet MS" w:hAnsi="Trebuchet MS"/>
        </w:rPr>
        <w:t xml:space="preserve">, które </w:t>
      </w:r>
      <w:r>
        <w:rPr>
          <w:rFonts w:ascii="Trebuchet MS" w:hAnsi="Trebuchet MS"/>
        </w:rPr>
        <w:t xml:space="preserve">– jak wykazało przeprowadzone badanie rynkowe - </w:t>
      </w:r>
      <w:r w:rsidRPr="00F63858">
        <w:rPr>
          <w:rFonts w:ascii="Trebuchet MS" w:hAnsi="Trebuchet MS"/>
          <w:b/>
        </w:rPr>
        <w:t>nie są  tożsame z obszarem województwa</w:t>
      </w:r>
      <w:r>
        <w:rPr>
          <w:rFonts w:ascii="Trebuchet MS" w:hAnsi="Trebuchet MS"/>
        </w:rPr>
        <w:t xml:space="preserve">. Udział rynkowy, o jakim mowa w art. 99 ust. 3 prawa farmaceutycznego, wynosi 1% i dotyczy całego województwa. Tak odgórnie określony udział rynkowy nie uwzględnia specyfiki wyznaczania rynków właściwych, przewidzianych w ustawie o ochronie konkurencji i konsumentów, w szczególności badania </w:t>
      </w:r>
      <w:proofErr w:type="spellStart"/>
      <w:r>
        <w:rPr>
          <w:rFonts w:ascii="Trebuchet MS" w:hAnsi="Trebuchet MS"/>
        </w:rPr>
        <w:t>substytutywności</w:t>
      </w:r>
      <w:proofErr w:type="spellEnd"/>
      <w:r>
        <w:rPr>
          <w:rFonts w:ascii="Trebuchet MS" w:hAnsi="Trebuchet MS"/>
        </w:rPr>
        <w:t xml:space="preserve"> produktowej czy zasięgu geograficznego. Prawo ochrony konkurencji - w</w:t>
      </w:r>
      <w:r w:rsidRPr="0015451E">
        <w:rPr>
          <w:rFonts w:ascii="Trebuchet MS" w:hAnsi="Trebuchet MS"/>
        </w:rPr>
        <w:t xml:space="preserve"> odróżnieniu od </w:t>
      </w:r>
      <w:r>
        <w:rPr>
          <w:rFonts w:ascii="Trebuchet MS" w:hAnsi="Trebuchet MS"/>
        </w:rPr>
        <w:t>wspomnianego 1 procenta zapisanego w prawie farmaceutycznym -</w:t>
      </w:r>
      <w:r w:rsidRPr="0015451E">
        <w:rPr>
          <w:rFonts w:ascii="Trebuchet MS" w:hAnsi="Trebuchet MS"/>
        </w:rPr>
        <w:t xml:space="preserve"> zakłada</w:t>
      </w:r>
      <w:r>
        <w:rPr>
          <w:rFonts w:ascii="Trebuchet MS" w:hAnsi="Trebuchet MS"/>
        </w:rPr>
        <w:t xml:space="preserve"> </w:t>
      </w:r>
      <w:r w:rsidRPr="0015451E">
        <w:rPr>
          <w:rFonts w:ascii="Trebuchet MS" w:hAnsi="Trebuchet MS"/>
        </w:rPr>
        <w:t>istnienie pozycji dominującej przedsiębiorcy na rynku</w:t>
      </w:r>
      <w:r>
        <w:rPr>
          <w:rFonts w:ascii="Trebuchet MS" w:hAnsi="Trebuchet MS"/>
        </w:rPr>
        <w:t xml:space="preserve"> właściwym,</w:t>
      </w:r>
      <w:r w:rsidRPr="0015451E">
        <w:rPr>
          <w:rFonts w:ascii="Trebuchet MS" w:hAnsi="Trebuchet MS"/>
        </w:rPr>
        <w:t xml:space="preserve"> jeżeli jego udział przekracza 40 procent</w:t>
      </w:r>
      <w:r>
        <w:rPr>
          <w:rFonts w:ascii="Trebuchet MS" w:hAnsi="Trebuchet MS"/>
        </w:rPr>
        <w:t xml:space="preserve">. </w:t>
      </w:r>
    </w:p>
    <w:p w:rsidR="00F24511" w:rsidRDefault="00F24511" w:rsidP="0015451E">
      <w:pPr>
        <w:pStyle w:val="NormalnyWeb"/>
        <w:adjustRightInd w:val="0"/>
        <w:spacing w:after="240" w:afterAutospacing="0" w:line="360" w:lineRule="auto"/>
        <w:jc w:val="both"/>
        <w:rPr>
          <w:rStyle w:val="Hipercze"/>
          <w:rFonts w:ascii="Trebuchet MS" w:hAnsi="Trebuchet MS"/>
          <w:sz w:val="22"/>
          <w:szCs w:val="22"/>
        </w:rPr>
      </w:pPr>
      <w:r w:rsidRPr="0015451E">
        <w:rPr>
          <w:rFonts w:ascii="Trebuchet MS" w:hAnsi="Trebuchet MS"/>
          <w:sz w:val="22"/>
          <w:szCs w:val="22"/>
        </w:rPr>
        <w:t xml:space="preserve">Streszczenie raportu z badania rynku detalicznej sprzedaży jest dostępne </w:t>
      </w:r>
      <w:hyperlink r:id="rId7" w:history="1">
        <w:r w:rsidRPr="00561537">
          <w:rPr>
            <w:rStyle w:val="Hipercze"/>
            <w:rFonts w:ascii="Trebuchet MS" w:hAnsi="Trebuchet MS"/>
            <w:sz w:val="22"/>
            <w:szCs w:val="22"/>
          </w:rPr>
          <w:t>na stronie internetowej UOKiK.</w:t>
        </w:r>
      </w:hyperlink>
    </w:p>
    <w:p w:rsidR="00F24511" w:rsidRDefault="00F24511" w:rsidP="0015451E">
      <w:pPr>
        <w:pStyle w:val="NormalnyWeb"/>
        <w:adjustRightInd w:val="0"/>
        <w:spacing w:after="240" w:afterAutospacing="0" w:line="360" w:lineRule="auto"/>
        <w:jc w:val="both"/>
        <w:rPr>
          <w:rStyle w:val="Hipercze"/>
          <w:rFonts w:ascii="Trebuchet MS" w:hAnsi="Trebuchet MS"/>
          <w:sz w:val="22"/>
          <w:szCs w:val="22"/>
        </w:rPr>
      </w:pPr>
    </w:p>
    <w:p w:rsidR="00F24511" w:rsidRPr="008C36DC" w:rsidRDefault="00F24511" w:rsidP="007D0C4F"/>
    <w:sectPr w:rsidR="00F24511" w:rsidRPr="008C36DC" w:rsidSect="003D678E">
      <w:headerReference w:type="default" r:id="rId8"/>
      <w:footerReference w:type="default" r:id="rId9"/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24" w:rsidRDefault="00283424" w:rsidP="007D0C4F">
      <w:pPr>
        <w:spacing w:after="0" w:line="240" w:lineRule="auto"/>
      </w:pPr>
      <w:r>
        <w:separator/>
      </w:r>
    </w:p>
  </w:endnote>
  <w:endnote w:type="continuationSeparator" w:id="0">
    <w:p w:rsidR="00283424" w:rsidRDefault="00283424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11" w:rsidRDefault="00283424">
    <w:pPr>
      <w:pStyle w:val="Stopka"/>
    </w:pPr>
    <w:r>
      <w:rPr>
        <w:noProof/>
        <w:lang w:eastAsia="pl-PL"/>
      </w:rPr>
      <w:pict>
        <v:line id="Łącznik prostoliniowy 8" o:spid="_x0000_s2049" style="position:absolute;flip:y;z-index:-2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  <w:lang w:eastAsia="pl-PL"/>
      </w:rPr>
      <w:pict>
        <v:line id="Łącznik prostoliniowy 7" o:spid="_x0000_s2050" style="position:absolute;z-index:-3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alt="logo uokik PL- jpg" style="position:absolute;margin-left:84.85pt;margin-top:765pt;width:117pt;height:42.1pt;z-index:-4;visibility:visible">
          <v:imagedata r:id="rId1" o:title=""/>
        </v:shape>
      </w:pict>
    </w:r>
    <w:r>
      <w:rPr>
        <w:noProof/>
        <w:lang w:eastAsia="pl-PL"/>
      </w:rPr>
      <w:pict>
        <v:shape id="Obraz 4" o:spid="_x0000_s2052" type="#_x0000_t75" alt="logo uokik PL- jpg" style="position:absolute;margin-left:257.35pt;margin-top:768.45pt;width:117pt;height:42.1pt;z-index:-5;visibility:visible">
          <v:imagedata r:id="rId1" o:title=""/>
        </v:shape>
      </w:pict>
    </w:r>
    <w:r>
      <w:rPr>
        <w:noProof/>
        <w:lang w:eastAsia="pl-PL"/>
      </w:rPr>
      <w:pict>
        <v:shape id="Obraz 3" o:spid="_x0000_s2053" type="#_x0000_t75" alt="logo uokik PL- jpg" style="position:absolute;margin-left:257.35pt;margin-top:768.45pt;width:117pt;height:42.1pt;z-index:-6;visibility:visible">
          <v:imagedata r:id="rId1" o:title=""/>
        </v:shape>
      </w:pict>
    </w:r>
    <w:r>
      <w:rPr>
        <w:noProof/>
        <w:lang w:eastAsia="pl-PL"/>
      </w:rPr>
      <w:pict>
        <v:shape id="Obraz 2" o:spid="_x0000_s2054" type="#_x0000_t75" alt="logo uokik PL- jpg" style="position:absolute;margin-left:84.85pt;margin-top:765.2pt;width:117pt;height:42.1pt;z-index:-7;visibility:visible">
          <v:imagedata r:id="rId1" o:title=""/>
        </v:shape>
      </w:pict>
    </w:r>
    <w:r>
      <w:rPr>
        <w:noProof/>
        <w:lang w:eastAsia="pl-PL"/>
      </w:rPr>
      <w:pict>
        <v:shape id="Obraz 12" o:spid="_x0000_i1026" type="#_x0000_t75" style="width:452.25pt;height:55.5pt;visibility:visible">
          <v:imagedata r:id="rId2" o:title=""/>
        </v:shape>
      </w:pict>
    </w:r>
    <w:r>
      <w:rPr>
        <w:noProof/>
        <w:lang w:eastAsia="pl-PL"/>
      </w:rPr>
      <w:pict>
        <v:line id="Łącznik prostoliniowy 11" o:spid="_x0000_s2055" style="position:absolute;z-index:-1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24" w:rsidRDefault="00283424" w:rsidP="007D0C4F">
      <w:pPr>
        <w:spacing w:after="0" w:line="240" w:lineRule="auto"/>
      </w:pPr>
      <w:r>
        <w:separator/>
      </w:r>
    </w:p>
  </w:footnote>
  <w:footnote w:type="continuationSeparator" w:id="0">
    <w:p w:rsidR="00283424" w:rsidRDefault="00283424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11" w:rsidRDefault="002834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naglowek2" style="width:446.25pt;height:56.25pt;visibility:visible">
          <v:imagedata r:id="rId1" o:title=""/>
        </v:shape>
      </w:pict>
    </w:r>
  </w:p>
  <w:p w:rsidR="00F24511" w:rsidRDefault="00F24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8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7783BC1"/>
    <w:multiLevelType w:val="multilevel"/>
    <w:tmpl w:val="51EA02B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" w15:restartNumberingAfterBreak="0">
    <w:nsid w:val="2D887493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405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71C517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1B7180A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FF5E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7049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606C4A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711453CF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16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C4F"/>
    <w:rsid w:val="000105AD"/>
    <w:rsid w:val="00010E69"/>
    <w:rsid w:val="000128E3"/>
    <w:rsid w:val="00012D54"/>
    <w:rsid w:val="00016569"/>
    <w:rsid w:val="0001677D"/>
    <w:rsid w:val="00017482"/>
    <w:rsid w:val="00022328"/>
    <w:rsid w:val="00022E7C"/>
    <w:rsid w:val="00023205"/>
    <w:rsid w:val="00026A24"/>
    <w:rsid w:val="00026C1F"/>
    <w:rsid w:val="000276C4"/>
    <w:rsid w:val="00030CD0"/>
    <w:rsid w:val="00031081"/>
    <w:rsid w:val="0004211E"/>
    <w:rsid w:val="0004213E"/>
    <w:rsid w:val="0004465B"/>
    <w:rsid w:val="000472D9"/>
    <w:rsid w:val="00051EAC"/>
    <w:rsid w:val="00054606"/>
    <w:rsid w:val="00065217"/>
    <w:rsid w:val="00073EC9"/>
    <w:rsid w:val="0007437C"/>
    <w:rsid w:val="00087593"/>
    <w:rsid w:val="00092304"/>
    <w:rsid w:val="00093DBA"/>
    <w:rsid w:val="000A307F"/>
    <w:rsid w:val="000B0044"/>
    <w:rsid w:val="000B0C49"/>
    <w:rsid w:val="000B2C8C"/>
    <w:rsid w:val="000C00C9"/>
    <w:rsid w:val="000C4939"/>
    <w:rsid w:val="000C54EC"/>
    <w:rsid w:val="000C773F"/>
    <w:rsid w:val="000D277E"/>
    <w:rsid w:val="000D574C"/>
    <w:rsid w:val="000D60C8"/>
    <w:rsid w:val="000E2229"/>
    <w:rsid w:val="000E4F5E"/>
    <w:rsid w:val="000F654E"/>
    <w:rsid w:val="000F791E"/>
    <w:rsid w:val="00100542"/>
    <w:rsid w:val="00103717"/>
    <w:rsid w:val="00104696"/>
    <w:rsid w:val="00105274"/>
    <w:rsid w:val="00105573"/>
    <w:rsid w:val="00114F78"/>
    <w:rsid w:val="001210BA"/>
    <w:rsid w:val="001235D4"/>
    <w:rsid w:val="00126784"/>
    <w:rsid w:val="00126CA0"/>
    <w:rsid w:val="00126E8F"/>
    <w:rsid w:val="0013114D"/>
    <w:rsid w:val="00132019"/>
    <w:rsid w:val="00133034"/>
    <w:rsid w:val="00140845"/>
    <w:rsid w:val="0014657D"/>
    <w:rsid w:val="00151518"/>
    <w:rsid w:val="0015451E"/>
    <w:rsid w:val="00155CD8"/>
    <w:rsid w:val="00155FB9"/>
    <w:rsid w:val="001561BD"/>
    <w:rsid w:val="00161F8A"/>
    <w:rsid w:val="001622C4"/>
    <w:rsid w:val="00163EAC"/>
    <w:rsid w:val="0016739E"/>
    <w:rsid w:val="0017398E"/>
    <w:rsid w:val="001827C2"/>
    <w:rsid w:val="00182992"/>
    <w:rsid w:val="00183244"/>
    <w:rsid w:val="001835B4"/>
    <w:rsid w:val="00192BFD"/>
    <w:rsid w:val="001961A5"/>
    <w:rsid w:val="001A745D"/>
    <w:rsid w:val="001B5595"/>
    <w:rsid w:val="001B6094"/>
    <w:rsid w:val="001B7C22"/>
    <w:rsid w:val="001C1294"/>
    <w:rsid w:val="001C1FF1"/>
    <w:rsid w:val="001C35F4"/>
    <w:rsid w:val="001C639B"/>
    <w:rsid w:val="001C6E96"/>
    <w:rsid w:val="001D75C3"/>
    <w:rsid w:val="001E14FC"/>
    <w:rsid w:val="001E2BEA"/>
    <w:rsid w:val="001E7964"/>
    <w:rsid w:val="001F0415"/>
    <w:rsid w:val="001F33A5"/>
    <w:rsid w:val="001F4F4C"/>
    <w:rsid w:val="0020282C"/>
    <w:rsid w:val="00206A23"/>
    <w:rsid w:val="00206C22"/>
    <w:rsid w:val="00211A37"/>
    <w:rsid w:val="00212F0E"/>
    <w:rsid w:val="0021689F"/>
    <w:rsid w:val="00217198"/>
    <w:rsid w:val="002241AB"/>
    <w:rsid w:val="002248E4"/>
    <w:rsid w:val="00231DFA"/>
    <w:rsid w:val="002343F7"/>
    <w:rsid w:val="00237FB2"/>
    <w:rsid w:val="00241900"/>
    <w:rsid w:val="00242EEA"/>
    <w:rsid w:val="00242F49"/>
    <w:rsid w:val="0024360A"/>
    <w:rsid w:val="00245987"/>
    <w:rsid w:val="00252C8F"/>
    <w:rsid w:val="002637F4"/>
    <w:rsid w:val="002650E0"/>
    <w:rsid w:val="00266913"/>
    <w:rsid w:val="00266B56"/>
    <w:rsid w:val="002701E8"/>
    <w:rsid w:val="0027151E"/>
    <w:rsid w:val="00280D65"/>
    <w:rsid w:val="00283424"/>
    <w:rsid w:val="00283AA5"/>
    <w:rsid w:val="00291D7D"/>
    <w:rsid w:val="00292D69"/>
    <w:rsid w:val="00295C9D"/>
    <w:rsid w:val="002A4926"/>
    <w:rsid w:val="002A644C"/>
    <w:rsid w:val="002B19A2"/>
    <w:rsid w:val="002B68FC"/>
    <w:rsid w:val="002C2B27"/>
    <w:rsid w:val="002C3ADC"/>
    <w:rsid w:val="002C3FD5"/>
    <w:rsid w:val="002C5124"/>
    <w:rsid w:val="002C7282"/>
    <w:rsid w:val="002D3DA9"/>
    <w:rsid w:val="002E25AF"/>
    <w:rsid w:val="002F3ECD"/>
    <w:rsid w:val="002F4701"/>
    <w:rsid w:val="002F7B92"/>
    <w:rsid w:val="0030243E"/>
    <w:rsid w:val="00303486"/>
    <w:rsid w:val="0030481B"/>
    <w:rsid w:val="00304B1C"/>
    <w:rsid w:val="0031206A"/>
    <w:rsid w:val="00315ED2"/>
    <w:rsid w:val="00317E8E"/>
    <w:rsid w:val="00330837"/>
    <w:rsid w:val="00331CF4"/>
    <w:rsid w:val="003372BB"/>
    <w:rsid w:val="003431AE"/>
    <w:rsid w:val="003433C7"/>
    <w:rsid w:val="00347B84"/>
    <w:rsid w:val="00350FFF"/>
    <w:rsid w:val="003511D7"/>
    <w:rsid w:val="003535D3"/>
    <w:rsid w:val="00354354"/>
    <w:rsid w:val="003609FB"/>
    <w:rsid w:val="00364145"/>
    <w:rsid w:val="0036455B"/>
    <w:rsid w:val="00367DCC"/>
    <w:rsid w:val="003879DD"/>
    <w:rsid w:val="003B23CE"/>
    <w:rsid w:val="003B7D5B"/>
    <w:rsid w:val="003C0115"/>
    <w:rsid w:val="003C17DB"/>
    <w:rsid w:val="003C298D"/>
    <w:rsid w:val="003C69FA"/>
    <w:rsid w:val="003C71AE"/>
    <w:rsid w:val="003D597A"/>
    <w:rsid w:val="003D678E"/>
    <w:rsid w:val="003D6E68"/>
    <w:rsid w:val="003D7FC9"/>
    <w:rsid w:val="003E2C29"/>
    <w:rsid w:val="003F08A3"/>
    <w:rsid w:val="003F2A44"/>
    <w:rsid w:val="003F39BB"/>
    <w:rsid w:val="003F4182"/>
    <w:rsid w:val="003F4CBF"/>
    <w:rsid w:val="004037F4"/>
    <w:rsid w:val="00404D51"/>
    <w:rsid w:val="00404FAD"/>
    <w:rsid w:val="00406848"/>
    <w:rsid w:val="00406C47"/>
    <w:rsid w:val="00411340"/>
    <w:rsid w:val="00411BC4"/>
    <w:rsid w:val="004132C8"/>
    <w:rsid w:val="00421F83"/>
    <w:rsid w:val="0042486F"/>
    <w:rsid w:val="00424BBD"/>
    <w:rsid w:val="00425D5D"/>
    <w:rsid w:val="00425E70"/>
    <w:rsid w:val="0042778A"/>
    <w:rsid w:val="00430DEC"/>
    <w:rsid w:val="004348B2"/>
    <w:rsid w:val="004360C5"/>
    <w:rsid w:val="00451CBA"/>
    <w:rsid w:val="004540AA"/>
    <w:rsid w:val="004547C4"/>
    <w:rsid w:val="0045538F"/>
    <w:rsid w:val="0045779E"/>
    <w:rsid w:val="00460030"/>
    <w:rsid w:val="00460353"/>
    <w:rsid w:val="004604BB"/>
    <w:rsid w:val="0046248B"/>
    <w:rsid w:val="00473732"/>
    <w:rsid w:val="00476FFA"/>
    <w:rsid w:val="00483C3B"/>
    <w:rsid w:val="0048559E"/>
    <w:rsid w:val="00493740"/>
    <w:rsid w:val="00493F1D"/>
    <w:rsid w:val="0049475F"/>
    <w:rsid w:val="00495596"/>
    <w:rsid w:val="004B3ABA"/>
    <w:rsid w:val="004B5D79"/>
    <w:rsid w:val="004C0293"/>
    <w:rsid w:val="004C0709"/>
    <w:rsid w:val="004C49B4"/>
    <w:rsid w:val="004C7F74"/>
    <w:rsid w:val="004D314B"/>
    <w:rsid w:val="004D6706"/>
    <w:rsid w:val="004E031B"/>
    <w:rsid w:val="004E4EA0"/>
    <w:rsid w:val="00502697"/>
    <w:rsid w:val="005044B3"/>
    <w:rsid w:val="00514E01"/>
    <w:rsid w:val="00520C2A"/>
    <w:rsid w:val="0052247C"/>
    <w:rsid w:val="005232F6"/>
    <w:rsid w:val="0052630C"/>
    <w:rsid w:val="00531604"/>
    <w:rsid w:val="00533268"/>
    <w:rsid w:val="00536B7B"/>
    <w:rsid w:val="00545654"/>
    <w:rsid w:val="00554666"/>
    <w:rsid w:val="0056044E"/>
    <w:rsid w:val="00560AA6"/>
    <w:rsid w:val="00561537"/>
    <w:rsid w:val="00565431"/>
    <w:rsid w:val="00573BBD"/>
    <w:rsid w:val="005767C7"/>
    <w:rsid w:val="00576862"/>
    <w:rsid w:val="00576EF2"/>
    <w:rsid w:val="00584941"/>
    <w:rsid w:val="00587AA4"/>
    <w:rsid w:val="00591FA9"/>
    <w:rsid w:val="005925A5"/>
    <w:rsid w:val="00594D19"/>
    <w:rsid w:val="00595002"/>
    <w:rsid w:val="00595CE5"/>
    <w:rsid w:val="005972BC"/>
    <w:rsid w:val="00597D6E"/>
    <w:rsid w:val="005A034A"/>
    <w:rsid w:val="005A689A"/>
    <w:rsid w:val="005B0846"/>
    <w:rsid w:val="005B4F75"/>
    <w:rsid w:val="005B69F5"/>
    <w:rsid w:val="005C1CDA"/>
    <w:rsid w:val="005C26F5"/>
    <w:rsid w:val="005C343C"/>
    <w:rsid w:val="005D0455"/>
    <w:rsid w:val="005D1012"/>
    <w:rsid w:val="005D6595"/>
    <w:rsid w:val="005D796E"/>
    <w:rsid w:val="005E031A"/>
    <w:rsid w:val="005F2DE2"/>
    <w:rsid w:val="00605E63"/>
    <w:rsid w:val="00611467"/>
    <w:rsid w:val="006148D0"/>
    <w:rsid w:val="0062721B"/>
    <w:rsid w:val="0063343E"/>
    <w:rsid w:val="00635BCF"/>
    <w:rsid w:val="00645F05"/>
    <w:rsid w:val="00655005"/>
    <w:rsid w:val="00664D0F"/>
    <w:rsid w:val="00664FEC"/>
    <w:rsid w:val="0066697E"/>
    <w:rsid w:val="00672F08"/>
    <w:rsid w:val="00673259"/>
    <w:rsid w:val="00677266"/>
    <w:rsid w:val="00677F22"/>
    <w:rsid w:val="006818FB"/>
    <w:rsid w:val="006836F1"/>
    <w:rsid w:val="006941A7"/>
    <w:rsid w:val="00694728"/>
    <w:rsid w:val="006A0C1C"/>
    <w:rsid w:val="006A17C7"/>
    <w:rsid w:val="006A2870"/>
    <w:rsid w:val="006A39C2"/>
    <w:rsid w:val="006D030D"/>
    <w:rsid w:val="006D3043"/>
    <w:rsid w:val="006D3B02"/>
    <w:rsid w:val="006D5BC1"/>
    <w:rsid w:val="006D7D6F"/>
    <w:rsid w:val="006E7890"/>
    <w:rsid w:val="006F005D"/>
    <w:rsid w:val="006F2F79"/>
    <w:rsid w:val="006F58A6"/>
    <w:rsid w:val="00704313"/>
    <w:rsid w:val="0071057F"/>
    <w:rsid w:val="00710EE8"/>
    <w:rsid w:val="00712A79"/>
    <w:rsid w:val="00717EFB"/>
    <w:rsid w:val="0072066C"/>
    <w:rsid w:val="00726136"/>
    <w:rsid w:val="00731213"/>
    <w:rsid w:val="007331BE"/>
    <w:rsid w:val="007428A9"/>
    <w:rsid w:val="00750C46"/>
    <w:rsid w:val="0075202F"/>
    <w:rsid w:val="00762A29"/>
    <w:rsid w:val="0076314F"/>
    <w:rsid w:val="00766677"/>
    <w:rsid w:val="00767FE8"/>
    <w:rsid w:val="00770D05"/>
    <w:rsid w:val="007711B5"/>
    <w:rsid w:val="007717D9"/>
    <w:rsid w:val="00771F7B"/>
    <w:rsid w:val="0077589C"/>
    <w:rsid w:val="00775CAA"/>
    <w:rsid w:val="0078195D"/>
    <w:rsid w:val="007834C6"/>
    <w:rsid w:val="0078584A"/>
    <w:rsid w:val="00790792"/>
    <w:rsid w:val="00795E15"/>
    <w:rsid w:val="007A2007"/>
    <w:rsid w:val="007A36EB"/>
    <w:rsid w:val="007A63D6"/>
    <w:rsid w:val="007B1E53"/>
    <w:rsid w:val="007B5887"/>
    <w:rsid w:val="007B695B"/>
    <w:rsid w:val="007C214F"/>
    <w:rsid w:val="007C2E9F"/>
    <w:rsid w:val="007D0C4F"/>
    <w:rsid w:val="007D6CA5"/>
    <w:rsid w:val="007E1249"/>
    <w:rsid w:val="007E2768"/>
    <w:rsid w:val="007E3D3A"/>
    <w:rsid w:val="007F1270"/>
    <w:rsid w:val="007F5E59"/>
    <w:rsid w:val="007F788A"/>
    <w:rsid w:val="00802640"/>
    <w:rsid w:val="00802FE7"/>
    <w:rsid w:val="00804203"/>
    <w:rsid w:val="00810777"/>
    <w:rsid w:val="00812B5D"/>
    <w:rsid w:val="00821305"/>
    <w:rsid w:val="008243AE"/>
    <w:rsid w:val="00824F18"/>
    <w:rsid w:val="00826084"/>
    <w:rsid w:val="008260B6"/>
    <w:rsid w:val="0084237C"/>
    <w:rsid w:val="00843276"/>
    <w:rsid w:val="00855A8B"/>
    <w:rsid w:val="00857C6A"/>
    <w:rsid w:val="0086257D"/>
    <w:rsid w:val="00864CE9"/>
    <w:rsid w:val="00866685"/>
    <w:rsid w:val="00867940"/>
    <w:rsid w:val="00877882"/>
    <w:rsid w:val="00890B43"/>
    <w:rsid w:val="00893224"/>
    <w:rsid w:val="0089505A"/>
    <w:rsid w:val="00897DC2"/>
    <w:rsid w:val="008B2D6D"/>
    <w:rsid w:val="008B4D4A"/>
    <w:rsid w:val="008C05A3"/>
    <w:rsid w:val="008C1D8A"/>
    <w:rsid w:val="008C3651"/>
    <w:rsid w:val="008C36DC"/>
    <w:rsid w:val="008D3BF1"/>
    <w:rsid w:val="008E065D"/>
    <w:rsid w:val="008E0688"/>
    <w:rsid w:val="008E1BBB"/>
    <w:rsid w:val="008E64A7"/>
    <w:rsid w:val="008F44D3"/>
    <w:rsid w:val="00906D21"/>
    <w:rsid w:val="00912DD9"/>
    <w:rsid w:val="0091679A"/>
    <w:rsid w:val="00920BA9"/>
    <w:rsid w:val="00922973"/>
    <w:rsid w:val="00925977"/>
    <w:rsid w:val="00944250"/>
    <w:rsid w:val="00945142"/>
    <w:rsid w:val="009457CA"/>
    <w:rsid w:val="009458E3"/>
    <w:rsid w:val="0094601B"/>
    <w:rsid w:val="009474A3"/>
    <w:rsid w:val="00950F67"/>
    <w:rsid w:val="0095488E"/>
    <w:rsid w:val="00957460"/>
    <w:rsid w:val="00957A9E"/>
    <w:rsid w:val="009605EA"/>
    <w:rsid w:val="0096305E"/>
    <w:rsid w:val="00973CA3"/>
    <w:rsid w:val="00974D6A"/>
    <w:rsid w:val="009852FC"/>
    <w:rsid w:val="0098596A"/>
    <w:rsid w:val="00986CCA"/>
    <w:rsid w:val="00994652"/>
    <w:rsid w:val="00995425"/>
    <w:rsid w:val="0099702D"/>
    <w:rsid w:val="009976D7"/>
    <w:rsid w:val="00997E38"/>
    <w:rsid w:val="009A0786"/>
    <w:rsid w:val="009B03AA"/>
    <w:rsid w:val="009B241C"/>
    <w:rsid w:val="009B3824"/>
    <w:rsid w:val="009B6361"/>
    <w:rsid w:val="009C2FC3"/>
    <w:rsid w:val="009C3E7C"/>
    <w:rsid w:val="009C3F3E"/>
    <w:rsid w:val="009C7D93"/>
    <w:rsid w:val="009D3594"/>
    <w:rsid w:val="009D5070"/>
    <w:rsid w:val="009D7183"/>
    <w:rsid w:val="009E0418"/>
    <w:rsid w:val="009E0A1C"/>
    <w:rsid w:val="009E1F2A"/>
    <w:rsid w:val="009E309A"/>
    <w:rsid w:val="009E5803"/>
    <w:rsid w:val="009F0601"/>
    <w:rsid w:val="009F072B"/>
    <w:rsid w:val="009F346B"/>
    <w:rsid w:val="009F3945"/>
    <w:rsid w:val="00A01E8F"/>
    <w:rsid w:val="00A02DE8"/>
    <w:rsid w:val="00A21D4E"/>
    <w:rsid w:val="00A3461D"/>
    <w:rsid w:val="00A3495F"/>
    <w:rsid w:val="00A4771A"/>
    <w:rsid w:val="00A53CED"/>
    <w:rsid w:val="00A54078"/>
    <w:rsid w:val="00A555D0"/>
    <w:rsid w:val="00A56654"/>
    <w:rsid w:val="00A6565B"/>
    <w:rsid w:val="00A66A6E"/>
    <w:rsid w:val="00A7158C"/>
    <w:rsid w:val="00A800B2"/>
    <w:rsid w:val="00A80C71"/>
    <w:rsid w:val="00A85A25"/>
    <w:rsid w:val="00A8740C"/>
    <w:rsid w:val="00A90381"/>
    <w:rsid w:val="00A904E7"/>
    <w:rsid w:val="00A90FE6"/>
    <w:rsid w:val="00A91DF6"/>
    <w:rsid w:val="00A96170"/>
    <w:rsid w:val="00A96BD9"/>
    <w:rsid w:val="00A974D8"/>
    <w:rsid w:val="00AA1C0B"/>
    <w:rsid w:val="00AB7171"/>
    <w:rsid w:val="00AC156A"/>
    <w:rsid w:val="00AC3F4F"/>
    <w:rsid w:val="00AD02FE"/>
    <w:rsid w:val="00AE1027"/>
    <w:rsid w:val="00AE25AB"/>
    <w:rsid w:val="00AE45E2"/>
    <w:rsid w:val="00AE46FA"/>
    <w:rsid w:val="00AF3430"/>
    <w:rsid w:val="00B0038E"/>
    <w:rsid w:val="00B11C45"/>
    <w:rsid w:val="00B133FC"/>
    <w:rsid w:val="00B224DD"/>
    <w:rsid w:val="00B23329"/>
    <w:rsid w:val="00B23BCA"/>
    <w:rsid w:val="00B27B19"/>
    <w:rsid w:val="00B312BF"/>
    <w:rsid w:val="00B31779"/>
    <w:rsid w:val="00B31A3A"/>
    <w:rsid w:val="00B32154"/>
    <w:rsid w:val="00B32AFA"/>
    <w:rsid w:val="00B348C9"/>
    <w:rsid w:val="00B3638B"/>
    <w:rsid w:val="00B36ECF"/>
    <w:rsid w:val="00B44439"/>
    <w:rsid w:val="00B459A6"/>
    <w:rsid w:val="00B533F7"/>
    <w:rsid w:val="00B6390D"/>
    <w:rsid w:val="00B653E2"/>
    <w:rsid w:val="00B67DAA"/>
    <w:rsid w:val="00B81DB4"/>
    <w:rsid w:val="00B9027D"/>
    <w:rsid w:val="00B90EDD"/>
    <w:rsid w:val="00B916EF"/>
    <w:rsid w:val="00B960AF"/>
    <w:rsid w:val="00BA17CC"/>
    <w:rsid w:val="00BA274D"/>
    <w:rsid w:val="00BA64B7"/>
    <w:rsid w:val="00BA732D"/>
    <w:rsid w:val="00BB12F0"/>
    <w:rsid w:val="00BB2848"/>
    <w:rsid w:val="00BB3134"/>
    <w:rsid w:val="00BB52C8"/>
    <w:rsid w:val="00BC03FB"/>
    <w:rsid w:val="00BC1FE4"/>
    <w:rsid w:val="00BC2134"/>
    <w:rsid w:val="00BC306A"/>
    <w:rsid w:val="00BD075E"/>
    <w:rsid w:val="00BD187E"/>
    <w:rsid w:val="00BD2D10"/>
    <w:rsid w:val="00BD459A"/>
    <w:rsid w:val="00BF21AB"/>
    <w:rsid w:val="00BF2CA4"/>
    <w:rsid w:val="00BF592A"/>
    <w:rsid w:val="00BF6AFF"/>
    <w:rsid w:val="00BF6E01"/>
    <w:rsid w:val="00BF753C"/>
    <w:rsid w:val="00C0394D"/>
    <w:rsid w:val="00C0700B"/>
    <w:rsid w:val="00C14681"/>
    <w:rsid w:val="00C15442"/>
    <w:rsid w:val="00C16244"/>
    <w:rsid w:val="00C20729"/>
    <w:rsid w:val="00C2388B"/>
    <w:rsid w:val="00C25537"/>
    <w:rsid w:val="00C30E40"/>
    <w:rsid w:val="00C31CAC"/>
    <w:rsid w:val="00C3450A"/>
    <w:rsid w:val="00C552B4"/>
    <w:rsid w:val="00C70FBE"/>
    <w:rsid w:val="00C74960"/>
    <w:rsid w:val="00C841D5"/>
    <w:rsid w:val="00C8693C"/>
    <w:rsid w:val="00C86959"/>
    <w:rsid w:val="00C91CB6"/>
    <w:rsid w:val="00C92EFE"/>
    <w:rsid w:val="00CA09C7"/>
    <w:rsid w:val="00CA0A67"/>
    <w:rsid w:val="00CA4E90"/>
    <w:rsid w:val="00CA6527"/>
    <w:rsid w:val="00CA7B32"/>
    <w:rsid w:val="00CB09B5"/>
    <w:rsid w:val="00CB651D"/>
    <w:rsid w:val="00CC08BB"/>
    <w:rsid w:val="00CC235B"/>
    <w:rsid w:val="00CD240D"/>
    <w:rsid w:val="00CD3FCC"/>
    <w:rsid w:val="00CD5ACC"/>
    <w:rsid w:val="00CD6CDC"/>
    <w:rsid w:val="00CE43C7"/>
    <w:rsid w:val="00CE5DB4"/>
    <w:rsid w:val="00CF016F"/>
    <w:rsid w:val="00D061B2"/>
    <w:rsid w:val="00D06276"/>
    <w:rsid w:val="00D21CE9"/>
    <w:rsid w:val="00D23E05"/>
    <w:rsid w:val="00D242B9"/>
    <w:rsid w:val="00D24DA0"/>
    <w:rsid w:val="00D326B5"/>
    <w:rsid w:val="00D333DF"/>
    <w:rsid w:val="00D5049A"/>
    <w:rsid w:val="00D513D5"/>
    <w:rsid w:val="00D7163F"/>
    <w:rsid w:val="00D73A50"/>
    <w:rsid w:val="00D77EA3"/>
    <w:rsid w:val="00D87EDB"/>
    <w:rsid w:val="00DA13D0"/>
    <w:rsid w:val="00DA7302"/>
    <w:rsid w:val="00DB6151"/>
    <w:rsid w:val="00DB645E"/>
    <w:rsid w:val="00DB6A93"/>
    <w:rsid w:val="00DC12EE"/>
    <w:rsid w:val="00DC2F98"/>
    <w:rsid w:val="00DC418B"/>
    <w:rsid w:val="00DE1AD2"/>
    <w:rsid w:val="00DE46F7"/>
    <w:rsid w:val="00DE51D7"/>
    <w:rsid w:val="00DF09D9"/>
    <w:rsid w:val="00DF3E1A"/>
    <w:rsid w:val="00DF4392"/>
    <w:rsid w:val="00DF5793"/>
    <w:rsid w:val="00DF6172"/>
    <w:rsid w:val="00DF69EF"/>
    <w:rsid w:val="00DF7039"/>
    <w:rsid w:val="00DF76B7"/>
    <w:rsid w:val="00E04307"/>
    <w:rsid w:val="00E1451F"/>
    <w:rsid w:val="00E230FB"/>
    <w:rsid w:val="00E23FCB"/>
    <w:rsid w:val="00E319B5"/>
    <w:rsid w:val="00E32E1C"/>
    <w:rsid w:val="00E378F6"/>
    <w:rsid w:val="00E46552"/>
    <w:rsid w:val="00E4729F"/>
    <w:rsid w:val="00E513A9"/>
    <w:rsid w:val="00E60186"/>
    <w:rsid w:val="00E61FD5"/>
    <w:rsid w:val="00E622DF"/>
    <w:rsid w:val="00E6290A"/>
    <w:rsid w:val="00E6471C"/>
    <w:rsid w:val="00E743D6"/>
    <w:rsid w:val="00E759FA"/>
    <w:rsid w:val="00E82C3B"/>
    <w:rsid w:val="00E8358B"/>
    <w:rsid w:val="00E871F3"/>
    <w:rsid w:val="00E90A0F"/>
    <w:rsid w:val="00E93697"/>
    <w:rsid w:val="00EA3CB8"/>
    <w:rsid w:val="00EA4076"/>
    <w:rsid w:val="00EA7D23"/>
    <w:rsid w:val="00EB0CD3"/>
    <w:rsid w:val="00EB4E27"/>
    <w:rsid w:val="00EB6ECC"/>
    <w:rsid w:val="00EC0127"/>
    <w:rsid w:val="00EC091B"/>
    <w:rsid w:val="00EC3F0D"/>
    <w:rsid w:val="00ED0429"/>
    <w:rsid w:val="00EE196B"/>
    <w:rsid w:val="00EF050A"/>
    <w:rsid w:val="00EF2E95"/>
    <w:rsid w:val="00F03208"/>
    <w:rsid w:val="00F04F47"/>
    <w:rsid w:val="00F058EE"/>
    <w:rsid w:val="00F07398"/>
    <w:rsid w:val="00F113F1"/>
    <w:rsid w:val="00F2048C"/>
    <w:rsid w:val="00F21773"/>
    <w:rsid w:val="00F24511"/>
    <w:rsid w:val="00F25B5A"/>
    <w:rsid w:val="00F25E56"/>
    <w:rsid w:val="00F263F0"/>
    <w:rsid w:val="00F35DDA"/>
    <w:rsid w:val="00F44ED3"/>
    <w:rsid w:val="00F46ACD"/>
    <w:rsid w:val="00F538DF"/>
    <w:rsid w:val="00F541A9"/>
    <w:rsid w:val="00F55E46"/>
    <w:rsid w:val="00F602EA"/>
    <w:rsid w:val="00F609BD"/>
    <w:rsid w:val="00F62480"/>
    <w:rsid w:val="00F63858"/>
    <w:rsid w:val="00F720F0"/>
    <w:rsid w:val="00F72521"/>
    <w:rsid w:val="00F76CA4"/>
    <w:rsid w:val="00F80F0C"/>
    <w:rsid w:val="00F825DF"/>
    <w:rsid w:val="00F8460D"/>
    <w:rsid w:val="00F926B8"/>
    <w:rsid w:val="00F9471D"/>
    <w:rsid w:val="00F95D32"/>
    <w:rsid w:val="00FA063A"/>
    <w:rsid w:val="00FA208D"/>
    <w:rsid w:val="00FA5856"/>
    <w:rsid w:val="00FA5CE7"/>
    <w:rsid w:val="00FA7E16"/>
    <w:rsid w:val="00FB3933"/>
    <w:rsid w:val="00FC18A2"/>
    <w:rsid w:val="00FC25CD"/>
    <w:rsid w:val="00FC58D3"/>
    <w:rsid w:val="00FC6FEA"/>
    <w:rsid w:val="00FD27E2"/>
    <w:rsid w:val="00FD5E3B"/>
    <w:rsid w:val="00FD75DF"/>
    <w:rsid w:val="00FE2084"/>
    <w:rsid w:val="00FF07D8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62CCD80F-2D2B-4D20-8BB6-61B2E304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D21CE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24F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paragraph" w:customStyle="1" w:styleId="TEKSTKOMUNIKATU">
    <w:name w:val="TEKST KOMUNIKATU"/>
    <w:basedOn w:val="Tekstpodstawowy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uiPriority w:val="99"/>
    <w:qFormat/>
    <w:rsid w:val="007D0C4F"/>
    <w:rPr>
      <w:rFonts w:cs="Times New Roman"/>
      <w:i/>
    </w:rPr>
  </w:style>
  <w:style w:type="character" w:styleId="Pogrubienie">
    <w:name w:val="Strong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0C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0C4F"/>
    <w:rPr>
      <w:rFonts w:cs="Times New Roman"/>
    </w:rPr>
  </w:style>
  <w:style w:type="character" w:styleId="Hipercze">
    <w:name w:val="Hyperlink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F6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F6AFF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BF6AFF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4604B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D5070"/>
    <w:rPr>
      <w:rFonts w:cs="Times New Roman"/>
    </w:rPr>
  </w:style>
  <w:style w:type="character" w:customStyle="1" w:styleId="bip">
    <w:name w:val="bip"/>
    <w:uiPriority w:val="99"/>
    <w:rsid w:val="00D21CE9"/>
    <w:rPr>
      <w:rFonts w:cs="Times New Roman"/>
    </w:rPr>
  </w:style>
  <w:style w:type="paragraph" w:customStyle="1" w:styleId="Tekst">
    <w:name w:val="Tekst"/>
    <w:basedOn w:val="Tekstpodstawowy"/>
    <w:uiPriority w:val="99"/>
    <w:rsid w:val="001235D4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AC156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numbering" w:customStyle="1" w:styleId="List0">
    <w:name w:val="List 0"/>
    <w:rsid w:val="0022458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kik.gov.pl/download.php?plik=16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dc:description/>
  <cp:lastModifiedBy>Łukasz Tyburzec</cp:lastModifiedBy>
  <cp:revision>5</cp:revision>
  <cp:lastPrinted>2015-11-19T14:39:00Z</cp:lastPrinted>
  <dcterms:created xsi:type="dcterms:W3CDTF">2015-12-02T16:08:00Z</dcterms:created>
  <dcterms:modified xsi:type="dcterms:W3CDTF">2015-12-03T11:38:00Z</dcterms:modified>
</cp:coreProperties>
</file>