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2E374" w14:textId="3730EFF9" w:rsidR="005A0456" w:rsidRPr="001B685A" w:rsidRDefault="00CC2947" w:rsidP="00EF3AE0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color w:val="000000"/>
          <w:kern w:val="0"/>
          <w:sz w:val="32"/>
          <w:szCs w:val="3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color w:val="000000"/>
          <w:kern w:val="0"/>
          <w:sz w:val="32"/>
          <w:szCs w:val="32"/>
          <w:shd w:val="clear" w:color="auto" w:fill="FFFFFF"/>
          <w:lang w:val="pl-PL" w:eastAsia="en-US"/>
        </w:rPr>
        <w:t>PIĄTY</w:t>
      </w:r>
      <w:r w:rsidR="0058657A">
        <w:rPr>
          <w:rStyle w:val="Pogrubienie"/>
          <w:rFonts w:ascii="Trebuchet MS" w:eastAsia="Times New Roman" w:hAnsi="Trebuchet MS" w:cs="Tahoma"/>
          <w:b w:val="0"/>
          <w:color w:val="000000"/>
          <w:kern w:val="0"/>
          <w:sz w:val="32"/>
          <w:szCs w:val="32"/>
          <w:shd w:val="clear" w:color="auto" w:fill="FFFFFF"/>
          <w:lang w:val="pl-PL" w:eastAsia="en-US"/>
        </w:rPr>
        <w:t xml:space="preserve"> ISTOTNY POGLĄD W SPRAWIE</w:t>
      </w:r>
    </w:p>
    <w:p w14:paraId="6065775F" w14:textId="47BD3F25" w:rsidR="00CB6832" w:rsidRPr="00CB6832" w:rsidRDefault="00231BD8" w:rsidP="00022E1A">
      <w:pPr>
        <w:pStyle w:val="TYTUKOMUNIKATU"/>
        <w:spacing w:after="0"/>
        <w:jc w:val="both"/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</w:pPr>
      <w:r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>Piąty</w:t>
      </w:r>
      <w:r w:rsidR="00355CD0"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 xml:space="preserve"> pogląd, który wydał Prezes UOKiK, dotyczy</w:t>
      </w:r>
      <w:r w:rsidR="000B1DFC"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>ł</w:t>
      </w:r>
      <w:r w:rsidR="00355CD0"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 xml:space="preserve"> spor</w:t>
      </w:r>
      <w:r w:rsidR="001B35F8"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>u</w:t>
      </w:r>
      <w:r w:rsidR="00355CD0"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 xml:space="preserve"> konsumentów z mBankiem. Zdaniem </w:t>
      </w:r>
      <w:r w:rsidR="00B668C0"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>u</w:t>
      </w:r>
      <w:r w:rsidR="00355CD0"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>rzędu, postanowienia określające wysokość oprocentowania</w:t>
      </w:r>
      <w:r w:rsidR="00353509"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 xml:space="preserve"> i </w:t>
      </w:r>
      <w:r w:rsidR="00E57C75"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>sposób ustalania</w:t>
      </w:r>
      <w:r w:rsidR="00353509"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 xml:space="preserve"> kursów</w:t>
      </w:r>
      <w:r w:rsidR="00E57C75"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 xml:space="preserve"> wymiany</w:t>
      </w:r>
      <w:r w:rsidR="00353509"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 xml:space="preserve"> walut</w:t>
      </w:r>
      <w:r w:rsidR="00355CD0"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 xml:space="preserve"> są zbyt ogólne</w:t>
      </w:r>
      <w:r w:rsidR="00B668C0"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>, a</w:t>
      </w:r>
      <w:r w:rsidR="00355CD0"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 xml:space="preserve"> </w:t>
      </w:r>
      <w:r w:rsidR="00B668C0"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 xml:space="preserve">tym samym – </w:t>
      </w:r>
      <w:r w:rsidR="00355CD0"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>niedozwolone</w:t>
      </w:r>
    </w:p>
    <w:p w14:paraId="3CC11C9D" w14:textId="20DA17E4" w:rsidR="00927F48" w:rsidRDefault="00BA448A" w:rsidP="0058657A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CB6832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[Warszawa, </w:t>
      </w:r>
      <w:r w:rsidR="000B1DFC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16</w:t>
      </w:r>
      <w:r w:rsidR="005B76B0" w:rsidRPr="00CB6832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58657A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listopada</w:t>
      </w:r>
      <w:r w:rsidR="005B76B0" w:rsidRPr="00CB6832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AE0A9C" w:rsidRPr="00CB6832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2016 r</w:t>
      </w:r>
      <w:r w:rsidR="00544FAE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] </w:t>
      </w:r>
      <w:r w:rsidR="00927F48" w:rsidRPr="00927F4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Sprawa </w:t>
      </w:r>
      <w:r w:rsidR="00DF5C75" w:rsidRPr="00927F4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toczy</w:t>
      </w:r>
      <w:r w:rsidR="00DF5C75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ła</w:t>
      </w:r>
      <w:r w:rsidR="00DF5C75" w:rsidRPr="00927F4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927F48" w:rsidRPr="00927F4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się</w:t>
      </w:r>
      <w:r w:rsidR="00AA072D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przed Sądem Okręgowym w Łodzi. </w:t>
      </w:r>
      <w:r w:rsidR="00DF5C75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Dotyczyła </w:t>
      </w:r>
      <w:r w:rsidR="00231BD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sporu z mBankiem</w:t>
      </w:r>
      <w:r w:rsidR="001B35F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i umowy o kredyt hipoteczny waloryzowany kursem franka szwajcarskiego</w:t>
      </w:r>
      <w:r w:rsidR="00231BD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 Kons</w:t>
      </w:r>
      <w:r w:rsidR="008C2D96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umenci </w:t>
      </w:r>
      <w:r w:rsidR="00DF5C75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kwestionowali </w:t>
      </w:r>
      <w:r w:rsidR="00353509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dwa </w:t>
      </w:r>
      <w:r w:rsidR="008C2D96" w:rsidRPr="00353509"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  <w:t>postanowienia</w:t>
      </w:r>
      <w:r w:rsidR="00353509" w:rsidRPr="00353509"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  <w:t>, które</w:t>
      </w:r>
      <w:r w:rsidR="00231BD8" w:rsidRPr="00353509"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  <w:t xml:space="preserve"> zbyt ogólnie określają powody zmiany oprocentowania</w:t>
      </w:r>
      <w:r w:rsidR="008C2D96" w:rsidRPr="00353509"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  <w:t xml:space="preserve"> oraz z</w:t>
      </w:r>
      <w:bookmarkStart w:id="0" w:name="_GoBack"/>
      <w:bookmarkEnd w:id="0"/>
      <w:r w:rsidR="008C2D96" w:rsidRPr="00353509"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  <w:t xml:space="preserve">asady ustalania kursu sprzedaży waluty do wyliczania rat. </w:t>
      </w:r>
      <w:r w:rsidR="00DF5C75" w:rsidRPr="00353509"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  <w:t>Domaga</w:t>
      </w:r>
      <w:r w:rsidR="00DF5C75"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  <w:t>li</w:t>
      </w:r>
      <w:r w:rsidR="00DF5C75" w:rsidRPr="00353509"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1B35F8" w:rsidRPr="00353509"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  <w:t>się, aby sąd uznał kwestionowan</w:t>
      </w:r>
      <w:r w:rsidR="008C2D96" w:rsidRPr="00353509"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  <w:t>e przez nich klauzule za niedozwolone</w:t>
      </w:r>
      <w:r w:rsidR="001B35F8" w:rsidRPr="00353509"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  <w:t xml:space="preserve"> oraz, aby określił jakie z tego wynikną dla nich </w:t>
      </w:r>
      <w:r w:rsidR="00B668C0" w:rsidRPr="00353509"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  <w:t>konsekwencje</w:t>
      </w:r>
      <w:r w:rsidR="001B35F8" w:rsidRPr="00353509"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</w:p>
    <w:p w14:paraId="1837A590" w14:textId="2FE2B757" w:rsidR="001B35F8" w:rsidRDefault="001B35F8" w:rsidP="0058657A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Prezes Urzędu Ochrony Konkurencji i Konsumentów przeanalizował przedstawione przez </w:t>
      </w:r>
      <w:r w:rsidR="00B668C0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klientów banku</w:t>
      </w: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dokumenty. </w:t>
      </w:r>
      <w:r w:rsidRPr="00B668C0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– Uznaliśmy, że sprzeczne z dobrymi obyczajami jest to, że bank nie informuje precyzyjnie o okolicznościach zmiany oprocentowania</w:t>
      </w:r>
      <w:r w:rsidR="00353509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oraz zasadach ustalania kursów walut</w:t>
      </w:r>
      <w:r w:rsidRPr="00B668C0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 Klienci nie mogą sprawdzić, czy zmiany są uzasadnione. To na nich zostało przeniesione ryzyko wieloletniej umowy o kredyt. Wpływa to negatywnie na</w:t>
      </w:r>
      <w:r w:rsidR="00122465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ich</w:t>
      </w:r>
      <w:r w:rsidRPr="00B668C0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sytuację finansową -</w:t>
      </w: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mówi Marek Niechciał, Prezes Urzędu Ochrony Konkurencji i Konsumentów.</w:t>
      </w:r>
    </w:p>
    <w:p w14:paraId="566D7A49" w14:textId="5B41153F" w:rsidR="001B35F8" w:rsidRDefault="008C2D96" w:rsidP="0058657A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Urząd uznał, że kwestionowane klauzule są niedozwolone</w:t>
      </w:r>
      <w:r w:rsidR="001B35F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ponieważ: </w:t>
      </w:r>
    </w:p>
    <w:p w14:paraId="1DCBACA5" w14:textId="1F4C79C9" w:rsidR="001B35F8" w:rsidRPr="00353509" w:rsidRDefault="00353509" w:rsidP="001B35F8">
      <w:pPr>
        <w:pStyle w:val="TYTUKOMUNIKATU"/>
        <w:numPr>
          <w:ilvl w:val="0"/>
          <w:numId w:val="5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  <w:t>z</w:t>
      </w:r>
      <w:r w:rsidR="001B35F8" w:rsidRPr="00353509"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  <w:t>awiera</w:t>
      </w:r>
      <w:r w:rsidR="008C2D96" w:rsidRPr="00353509"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  <w:t>ją</w:t>
      </w:r>
      <w:r w:rsidR="001B35F8" w:rsidRPr="00353509"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8C2D96" w:rsidRPr="00353509"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  <w:t xml:space="preserve">sformułowania </w:t>
      </w:r>
      <w:r w:rsidR="00835569" w:rsidRPr="00353509"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  <w:t>niejednoznaczne</w:t>
      </w:r>
      <w:r w:rsidR="001F499C" w:rsidRPr="00353509"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835569" w:rsidRPr="00353509"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</w:p>
    <w:p w14:paraId="51A4CD84" w14:textId="4DB31454" w:rsidR="008C2D96" w:rsidRPr="00353509" w:rsidRDefault="00353509" w:rsidP="001B35F8">
      <w:pPr>
        <w:pStyle w:val="TYTUKOMUNIKATU"/>
        <w:numPr>
          <w:ilvl w:val="0"/>
          <w:numId w:val="5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</w:pPr>
      <w:r w:rsidRPr="00353509"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  <w:t>z</w:t>
      </w:r>
      <w:r w:rsidR="008C2D96" w:rsidRPr="00353509"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  <w:t>akłócają równowagę kontraktową między stronami umowy,</w:t>
      </w:r>
    </w:p>
    <w:p w14:paraId="42DD26CE" w14:textId="1111A14E" w:rsidR="001F499C" w:rsidRPr="00353509" w:rsidRDefault="00353509" w:rsidP="001B35F8">
      <w:pPr>
        <w:pStyle w:val="TYTUKOMUNIKATU"/>
        <w:numPr>
          <w:ilvl w:val="0"/>
          <w:numId w:val="5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</w:pPr>
      <w:r w:rsidRPr="00353509"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  <w:t>u</w:t>
      </w:r>
      <w:r w:rsidR="001F499C" w:rsidRPr="00353509"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  <w:t xml:space="preserve">niemożliwiają </w:t>
      </w:r>
      <w:r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  <w:t>konsumento</w:t>
      </w:r>
      <w:r w:rsidR="00CC0CC4"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  <w:t>m</w:t>
      </w:r>
      <w:r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  <w:t xml:space="preserve"> weryfikację</w:t>
      </w:r>
      <w:r w:rsidR="001F499C" w:rsidRPr="00353509"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  <w:t>działań banku</w:t>
      </w:r>
      <w:r w:rsidR="001F499C" w:rsidRPr="00353509"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  <w:t>.</w:t>
      </w:r>
    </w:p>
    <w:p w14:paraId="5AF5343E" w14:textId="49D22AF4" w:rsidR="001B35F8" w:rsidRPr="00994693" w:rsidRDefault="00A73B42" w:rsidP="0058657A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</w:t>
      </w:r>
      <w:r w:rsidR="00353509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onadto Urząd nie zgodził się z wyrokiem </w:t>
      </w: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Sądu Rejonowego w Łodzi z 16 marca 2016 roku. </w:t>
      </w:r>
      <w:r w:rsidR="00994693" w:rsidRPr="00994693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W przeciwieństwie do sądu, Urząd stwierdził, że dla uznania klauzuli za niedozwoloną nie ma znaczenia, czy konsumenci ponieśli dotychczas szkodę. </w:t>
      </w:r>
      <w:r w:rsidR="008A0FAE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>Zdaniem UOKiK, t</w:t>
      </w:r>
      <w:r w:rsidR="00994693" w:rsidRPr="00994693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o jak wykonywane jest postanowienie nie ma znaczenia, bowiem abuzywna klauzula nie powinna obowiązywać klientów od samego początku. </w:t>
      </w:r>
    </w:p>
    <w:p w14:paraId="4692E854" w14:textId="77777777" w:rsidR="00CC0CC4" w:rsidRDefault="0031093B" w:rsidP="009D24E1">
      <w:pPr>
        <w:pStyle w:val="TYTUKOMUNIKATU"/>
        <w:spacing w:after="0"/>
        <w:jc w:val="both"/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</w:pPr>
      <w:r w:rsidRPr="00641941">
        <w:rPr>
          <w:rStyle w:val="Pogrubienie"/>
          <w:rFonts w:ascii="Trebuchet MS" w:eastAsia="Times New Roman" w:hAnsi="Trebuchet MS" w:cs="Tahoma"/>
          <w:caps w:val="0"/>
          <w:kern w:val="0"/>
          <w:sz w:val="22"/>
          <w:szCs w:val="22"/>
          <w:shd w:val="clear" w:color="auto" w:fill="FFFFFF"/>
          <w:lang w:val="pl-PL" w:eastAsia="en-US"/>
        </w:rPr>
        <w:t xml:space="preserve">Ważne: </w:t>
      </w:r>
      <w:r w:rsidRPr="00641941">
        <w:rPr>
          <w:rFonts w:ascii="Trebuchet MS" w:hAnsi="Trebuchet MS" w:cs="Tahoma"/>
          <w:b/>
          <w:caps w:val="0"/>
          <w:sz w:val="22"/>
          <w:szCs w:val="22"/>
          <w:shd w:val="clear" w:color="auto" w:fill="FFFFFF"/>
          <w:lang w:val="pl-PL"/>
        </w:rPr>
        <w:t>ocena prawna przedstawiona przez Urząd nie może stanowić odniesienia dla innych spraw, które pozornie mogą wydawać się podobne.</w:t>
      </w:r>
      <w:r w:rsidRPr="0031093B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 </w:t>
      </w:r>
    </w:p>
    <w:p w14:paraId="29A798C6" w14:textId="0CE7A879" w:rsidR="009D24E1" w:rsidRPr="0031093B" w:rsidRDefault="0031093B" w:rsidP="009D24E1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</w:pPr>
      <w:r w:rsidRPr="0031093B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W każdym przypadku Prezes UOKiK ocenia stan faktyczny i prawny, orzecznictwo w danej sprawie oraz wniosek skierowany przez powodów. </w:t>
      </w:r>
      <w:r w:rsidR="00641941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Wydane do tej pory poglądy są dostępne </w:t>
      </w:r>
      <w:hyperlink r:id="rId8" w:history="1">
        <w:r w:rsidR="00641941" w:rsidRPr="0031093B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na stronie internetowej UOKiK</w:t>
        </w:r>
      </w:hyperlink>
      <w:r w:rsidR="00C26377">
        <w:rPr>
          <w:rStyle w:val="Hipercze"/>
          <w:rFonts w:ascii="Trebuchet MS" w:eastAsia="Times New Roman" w:hAnsi="Trebuchet MS" w:cs="Tahoma"/>
          <w:caps w:val="0"/>
          <w:kern w:val="0"/>
          <w:sz w:val="22"/>
          <w:szCs w:val="22"/>
          <w:shd w:val="clear" w:color="auto" w:fill="FFFFFF"/>
          <w:lang w:val="pl-PL" w:eastAsia="en-US"/>
        </w:rPr>
        <w:t>:</w:t>
      </w:r>
      <w:r w:rsidR="00641941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hyperlink r:id="rId9" w:history="1">
        <w:r w:rsidR="00641941" w:rsidRPr="000D6DA3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https://uokik.gov.pl/istotny_poglad_w_sprawie.php</w:t>
        </w:r>
      </w:hyperlink>
      <w:r w:rsidR="00641941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</w:p>
    <w:p w14:paraId="0999B2CE" w14:textId="77777777" w:rsidR="0031093B" w:rsidRPr="0031093B" w:rsidRDefault="0031093B" w:rsidP="0031093B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31093B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lastRenderedPageBreak/>
        <w:t>Istotny pogląd w sprawie konsumenckiej – zasady</w:t>
      </w:r>
    </w:p>
    <w:p w14:paraId="686D430E" w14:textId="77777777" w:rsidR="0031093B" w:rsidRPr="0031093B" w:rsidRDefault="0031093B" w:rsidP="0031093B">
      <w:pPr>
        <w:pStyle w:val="TYTUKOMUNIKATU"/>
        <w:numPr>
          <w:ilvl w:val="0"/>
          <w:numId w:val="4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31093B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Istotny pogląd w sprawie to pisemne stanowisko Prezesa UOKiK, w którym Urząd przedstawia argumenty i poglądy ważne dla danego sporu, opierając się na określonym stanie faktycznym i prawnym. Z tego względu ocena przedstawiona w istotnym poglądzie nie może być odniesieniem do innych spraw. </w:t>
      </w:r>
    </w:p>
    <w:p w14:paraId="42B24F18" w14:textId="77777777" w:rsidR="0031093B" w:rsidRPr="0031093B" w:rsidRDefault="0031093B" w:rsidP="0031093B">
      <w:pPr>
        <w:pStyle w:val="TYTUKOMUNIKATU"/>
        <w:numPr>
          <w:ilvl w:val="0"/>
          <w:numId w:val="4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31093B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Wydawany jest tylko w sprawie toczącej się przed sądem.</w:t>
      </w:r>
    </w:p>
    <w:p w14:paraId="4D9131D8" w14:textId="77777777" w:rsidR="0031093B" w:rsidRPr="0031093B" w:rsidRDefault="0031093B" w:rsidP="0031093B">
      <w:pPr>
        <w:pStyle w:val="TYTUKOMUNIKATU"/>
        <w:numPr>
          <w:ilvl w:val="0"/>
          <w:numId w:val="4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31093B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Jest wydawany, jeżeli przemawia za tym interes publiczny. </w:t>
      </w:r>
    </w:p>
    <w:p w14:paraId="56321B69" w14:textId="77777777" w:rsidR="0031093B" w:rsidRPr="0031093B" w:rsidRDefault="0031093B" w:rsidP="0031093B">
      <w:pPr>
        <w:pStyle w:val="TYTUKOMUNIKATU"/>
        <w:numPr>
          <w:ilvl w:val="0"/>
          <w:numId w:val="4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31093B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Dotyczy sporu między konsumentem a przedsiębiorcą. </w:t>
      </w:r>
    </w:p>
    <w:p w14:paraId="5B527338" w14:textId="77777777" w:rsidR="0031093B" w:rsidRPr="0031093B" w:rsidRDefault="0031093B" w:rsidP="0031093B">
      <w:pPr>
        <w:pStyle w:val="TYTUKOMUNIKATU"/>
        <w:numPr>
          <w:ilvl w:val="0"/>
          <w:numId w:val="4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31093B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Prezes UOKiK może przedstawić istotny pogląd w sprawie z własnej inicjatywy, na wniosek konsumenta lub przedsiębiorcy bądź na wniosek sądu. </w:t>
      </w:r>
    </w:p>
    <w:p w14:paraId="18239000" w14:textId="7B990F31" w:rsidR="007D49EA" w:rsidRPr="001B685A" w:rsidRDefault="007D49EA" w:rsidP="007D49EA">
      <w:pPr>
        <w:pStyle w:val="TYTUKOMUNIKATU"/>
        <w:spacing w:after="0"/>
        <w:jc w:val="both"/>
        <w:rPr>
          <w:rFonts w:ascii="Trebuchet MS" w:hAnsi="Trebuchet MS"/>
          <w:caps w:val="0"/>
          <w:sz w:val="18"/>
          <w:szCs w:val="18"/>
          <w:lang w:val="pl-PL"/>
        </w:rPr>
      </w:pPr>
      <w:r w:rsidRPr="001B685A">
        <w:rPr>
          <w:rStyle w:val="Pogrubienie"/>
          <w:rFonts w:ascii="Trebuchet MS" w:hAnsi="Trebuchet MS" w:cs="Tahoma"/>
          <w:caps w:val="0"/>
          <w:color w:val="000000"/>
          <w:sz w:val="18"/>
          <w:szCs w:val="18"/>
          <w:lang w:val="pl-PL"/>
        </w:rPr>
        <w:t>Dodatkowe informacje dla mediów:</w:t>
      </w:r>
      <w:r w:rsidRPr="001B685A">
        <w:rPr>
          <w:rFonts w:ascii="Trebuchet MS" w:hAnsi="Trebuchet MS"/>
          <w:caps w:val="0"/>
          <w:sz w:val="18"/>
          <w:szCs w:val="18"/>
          <w:lang w:val="pl-PL"/>
        </w:rPr>
        <w:t xml:space="preserve"> </w:t>
      </w:r>
    </w:p>
    <w:p w14:paraId="27581503" w14:textId="0D704D80" w:rsidR="007D49EA" w:rsidRPr="001B685A" w:rsidRDefault="007D49EA" w:rsidP="007D49EA">
      <w:pPr>
        <w:pStyle w:val="TEKSTKOMUNIKATU"/>
        <w:spacing w:before="120"/>
        <w:jc w:val="left"/>
        <w:rPr>
          <w:rFonts w:ascii="Trebuchet MS" w:hAnsi="Trebuchet MS" w:cs="Tahoma"/>
          <w:sz w:val="18"/>
          <w:szCs w:val="18"/>
          <w:lang w:val="pl-PL"/>
        </w:rPr>
      </w:pPr>
      <w:r w:rsidRPr="001B685A">
        <w:rPr>
          <w:rFonts w:ascii="Trebuchet MS" w:hAnsi="Trebuchet MS"/>
          <w:sz w:val="18"/>
          <w:szCs w:val="18"/>
          <w:lang w:val="pl-PL"/>
        </w:rPr>
        <w:t xml:space="preserve">Biuro prasowe UOKiK </w:t>
      </w:r>
      <w:r w:rsidRPr="001B685A">
        <w:rPr>
          <w:rFonts w:ascii="Trebuchet MS" w:hAnsi="Trebuchet MS"/>
          <w:sz w:val="18"/>
          <w:szCs w:val="18"/>
          <w:lang w:val="pl-PL"/>
        </w:rPr>
        <w:br/>
        <w:t xml:space="preserve">pl. Powstańców Warszawy 1, 00-950 Warszawa </w:t>
      </w:r>
      <w:r w:rsidRPr="001B685A">
        <w:rPr>
          <w:rFonts w:ascii="Trebuchet MS" w:hAnsi="Trebuchet MS"/>
          <w:sz w:val="18"/>
          <w:szCs w:val="18"/>
          <w:lang w:val="pl-PL"/>
        </w:rPr>
        <w:br/>
        <w:t xml:space="preserve">Tel. </w:t>
      </w:r>
      <w:r w:rsidR="00E320C6">
        <w:rPr>
          <w:rFonts w:ascii="Trebuchet MS" w:hAnsi="Trebuchet MS"/>
          <w:sz w:val="18"/>
          <w:szCs w:val="18"/>
          <w:lang w:val="pl-PL"/>
        </w:rPr>
        <w:t xml:space="preserve">22 </w:t>
      </w:r>
      <w:r w:rsidRPr="001B685A">
        <w:rPr>
          <w:rFonts w:ascii="Trebuchet MS" w:hAnsi="Trebuchet MS"/>
          <w:sz w:val="18"/>
          <w:szCs w:val="18"/>
          <w:lang w:val="pl-PL"/>
        </w:rPr>
        <w:t>55 60 111</w:t>
      </w:r>
      <w:r w:rsidRPr="001B685A">
        <w:rPr>
          <w:rFonts w:ascii="Trebuchet MS" w:hAnsi="Trebuchet MS"/>
          <w:sz w:val="18"/>
          <w:szCs w:val="18"/>
          <w:lang w:val="pl-PL"/>
        </w:rPr>
        <w:br/>
        <w:t xml:space="preserve">E-mail: </w:t>
      </w:r>
      <w:hyperlink r:id="rId10" w:history="1">
        <w:r w:rsidRPr="001B685A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biuroprasowe@uokik.gov.pl</w:t>
        </w:r>
      </w:hyperlink>
    </w:p>
    <w:p w14:paraId="792AE118" w14:textId="77777777" w:rsidR="007D49EA" w:rsidRPr="001B685A" w:rsidRDefault="007D49EA" w:rsidP="007D49EA">
      <w:pPr>
        <w:pStyle w:val="TEKSTKOMUNIKATU"/>
        <w:jc w:val="left"/>
        <w:outlineLvl w:val="0"/>
        <w:rPr>
          <w:rFonts w:ascii="Trebuchet MS" w:hAnsi="Trebuchet MS"/>
          <w:sz w:val="18"/>
          <w:szCs w:val="18"/>
          <w:lang w:val="pl-PL"/>
        </w:rPr>
      </w:pPr>
      <w:r w:rsidRPr="001B685A">
        <w:rPr>
          <w:rFonts w:ascii="Trebuchet MS" w:hAnsi="Trebuchet MS" w:cs="Tahoma"/>
          <w:color w:val="000000"/>
          <w:sz w:val="18"/>
          <w:szCs w:val="18"/>
          <w:shd w:val="clear" w:color="auto" w:fill="FFFFFF"/>
          <w:lang w:val="pl-PL"/>
        </w:rPr>
        <w:t>Twitter:</w:t>
      </w:r>
      <w:r w:rsidRPr="001B685A">
        <w:rPr>
          <w:rStyle w:val="apple-converted-space"/>
          <w:rFonts w:ascii="Trebuchet MS" w:hAnsi="Trebuchet MS" w:cs="Tahoma"/>
          <w:color w:val="3C4147"/>
          <w:sz w:val="18"/>
          <w:szCs w:val="18"/>
          <w:shd w:val="clear" w:color="auto" w:fill="FFFFFF"/>
          <w:lang w:val="pl-PL"/>
        </w:rPr>
        <w:t> </w:t>
      </w:r>
      <w:hyperlink r:id="rId11" w:history="1">
        <w:r w:rsidRPr="001B685A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@</w:t>
        </w:r>
        <w:proofErr w:type="spellStart"/>
        <w:r w:rsidRPr="001B685A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UOKiKgovPL</w:t>
        </w:r>
        <w:proofErr w:type="spellEnd"/>
      </w:hyperlink>
    </w:p>
    <w:sectPr w:rsidR="007D49EA" w:rsidRPr="001B685A" w:rsidSect="00EF3AE0">
      <w:headerReference w:type="default" r:id="rId12"/>
      <w:footerReference w:type="default" r:id="rId13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9B2E8" w14:textId="77777777" w:rsidR="0090146B" w:rsidRDefault="0090146B">
      <w:r>
        <w:separator/>
      </w:r>
    </w:p>
  </w:endnote>
  <w:endnote w:type="continuationSeparator" w:id="0">
    <w:p w14:paraId="11E2D2F8" w14:textId="77777777" w:rsidR="0090146B" w:rsidRDefault="0090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59FE6" w14:textId="77777777" w:rsidR="00144610" w:rsidRDefault="00A8334E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7A1E9F64" wp14:editId="03D5AEC0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1905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5C6F25" id="Kanwa 1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3753A" w14:textId="77777777" w:rsidR="0090146B" w:rsidRDefault="0090146B">
      <w:r>
        <w:separator/>
      </w:r>
    </w:p>
  </w:footnote>
  <w:footnote w:type="continuationSeparator" w:id="0">
    <w:p w14:paraId="555DEBF1" w14:textId="77777777" w:rsidR="0090146B" w:rsidRDefault="00901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DCBA5" w14:textId="77777777" w:rsidR="00144610" w:rsidRDefault="00EF3AE0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21C23BFF" wp14:editId="33846B8C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7D4F"/>
    <w:multiLevelType w:val="hybridMultilevel"/>
    <w:tmpl w:val="45B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330A"/>
    <w:multiLevelType w:val="hybridMultilevel"/>
    <w:tmpl w:val="AD2E6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A18D6"/>
    <w:multiLevelType w:val="hybridMultilevel"/>
    <w:tmpl w:val="A9409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04DBA"/>
    <w:multiLevelType w:val="hybridMultilevel"/>
    <w:tmpl w:val="E086F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2003A"/>
    <w:multiLevelType w:val="hybridMultilevel"/>
    <w:tmpl w:val="E1EC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E0"/>
    <w:rsid w:val="00022E1A"/>
    <w:rsid w:val="00034827"/>
    <w:rsid w:val="00053D7C"/>
    <w:rsid w:val="00062B1E"/>
    <w:rsid w:val="00071E3A"/>
    <w:rsid w:val="00090D4C"/>
    <w:rsid w:val="000931A2"/>
    <w:rsid w:val="000A058C"/>
    <w:rsid w:val="000A0755"/>
    <w:rsid w:val="000A3789"/>
    <w:rsid w:val="000B1DFC"/>
    <w:rsid w:val="000C3D5F"/>
    <w:rsid w:val="000C418D"/>
    <w:rsid w:val="000D662F"/>
    <w:rsid w:val="000F6D71"/>
    <w:rsid w:val="00102B02"/>
    <w:rsid w:val="00122465"/>
    <w:rsid w:val="0012279F"/>
    <w:rsid w:val="0013180E"/>
    <w:rsid w:val="001325CB"/>
    <w:rsid w:val="00136DA6"/>
    <w:rsid w:val="0013792B"/>
    <w:rsid w:val="0016513E"/>
    <w:rsid w:val="00170404"/>
    <w:rsid w:val="00172FD7"/>
    <w:rsid w:val="001814C9"/>
    <w:rsid w:val="001815DF"/>
    <w:rsid w:val="0019658D"/>
    <w:rsid w:val="00197DE1"/>
    <w:rsid w:val="001A3CAB"/>
    <w:rsid w:val="001A5C57"/>
    <w:rsid w:val="001B35F8"/>
    <w:rsid w:val="001B37DE"/>
    <w:rsid w:val="001B685A"/>
    <w:rsid w:val="001C34D4"/>
    <w:rsid w:val="001D1F94"/>
    <w:rsid w:val="001E3916"/>
    <w:rsid w:val="001F2843"/>
    <w:rsid w:val="001F499C"/>
    <w:rsid w:val="00221F9F"/>
    <w:rsid w:val="00226852"/>
    <w:rsid w:val="0023046E"/>
    <w:rsid w:val="00231BD8"/>
    <w:rsid w:val="002641C0"/>
    <w:rsid w:val="0027153C"/>
    <w:rsid w:val="002718DA"/>
    <w:rsid w:val="002B3D85"/>
    <w:rsid w:val="003033F1"/>
    <w:rsid w:val="0031093B"/>
    <w:rsid w:val="0031530B"/>
    <w:rsid w:val="00316843"/>
    <w:rsid w:val="00317736"/>
    <w:rsid w:val="00317D84"/>
    <w:rsid w:val="00353509"/>
    <w:rsid w:val="00355CD0"/>
    <w:rsid w:val="003A7A0C"/>
    <w:rsid w:val="003B7106"/>
    <w:rsid w:val="003D2A56"/>
    <w:rsid w:val="003D6427"/>
    <w:rsid w:val="003D6476"/>
    <w:rsid w:val="003E7781"/>
    <w:rsid w:val="003E7C87"/>
    <w:rsid w:val="00410A84"/>
    <w:rsid w:val="004113AA"/>
    <w:rsid w:val="004146C0"/>
    <w:rsid w:val="00415289"/>
    <w:rsid w:val="00430D31"/>
    <w:rsid w:val="0044615F"/>
    <w:rsid w:val="00454BCD"/>
    <w:rsid w:val="004924C8"/>
    <w:rsid w:val="004B2FE6"/>
    <w:rsid w:val="004C6F9F"/>
    <w:rsid w:val="004D3289"/>
    <w:rsid w:val="004F1668"/>
    <w:rsid w:val="00513C52"/>
    <w:rsid w:val="00521D02"/>
    <w:rsid w:val="0053773F"/>
    <w:rsid w:val="00542587"/>
    <w:rsid w:val="00544FAE"/>
    <w:rsid w:val="00570D8F"/>
    <w:rsid w:val="0058657A"/>
    <w:rsid w:val="005920C3"/>
    <w:rsid w:val="005A0456"/>
    <w:rsid w:val="005A3C4A"/>
    <w:rsid w:val="005B2223"/>
    <w:rsid w:val="005B76B0"/>
    <w:rsid w:val="005C0438"/>
    <w:rsid w:val="005C122E"/>
    <w:rsid w:val="005C4F8B"/>
    <w:rsid w:val="00603886"/>
    <w:rsid w:val="0060644A"/>
    <w:rsid w:val="006213B9"/>
    <w:rsid w:val="00641941"/>
    <w:rsid w:val="00656E40"/>
    <w:rsid w:val="00667DCC"/>
    <w:rsid w:val="0067387D"/>
    <w:rsid w:val="00686F92"/>
    <w:rsid w:val="006D0819"/>
    <w:rsid w:val="006F7450"/>
    <w:rsid w:val="0072053E"/>
    <w:rsid w:val="007408B6"/>
    <w:rsid w:val="0074325E"/>
    <w:rsid w:val="00775D4F"/>
    <w:rsid w:val="00784B2D"/>
    <w:rsid w:val="00795646"/>
    <w:rsid w:val="00795E60"/>
    <w:rsid w:val="007A27FE"/>
    <w:rsid w:val="007B0281"/>
    <w:rsid w:val="007D2162"/>
    <w:rsid w:val="007D49EA"/>
    <w:rsid w:val="007E3C0D"/>
    <w:rsid w:val="00803012"/>
    <w:rsid w:val="00810183"/>
    <w:rsid w:val="00815FC3"/>
    <w:rsid w:val="00821D08"/>
    <w:rsid w:val="00830143"/>
    <w:rsid w:val="00835569"/>
    <w:rsid w:val="008779E3"/>
    <w:rsid w:val="00877BA5"/>
    <w:rsid w:val="00880986"/>
    <w:rsid w:val="008A0FAE"/>
    <w:rsid w:val="008A79AC"/>
    <w:rsid w:val="008B01B6"/>
    <w:rsid w:val="008B0855"/>
    <w:rsid w:val="008B5CAC"/>
    <w:rsid w:val="008C09DD"/>
    <w:rsid w:val="008C1CBE"/>
    <w:rsid w:val="008C2D96"/>
    <w:rsid w:val="008C4FCA"/>
    <w:rsid w:val="008F67EB"/>
    <w:rsid w:val="0090146B"/>
    <w:rsid w:val="0090331A"/>
    <w:rsid w:val="00927F48"/>
    <w:rsid w:val="00930B67"/>
    <w:rsid w:val="0093749D"/>
    <w:rsid w:val="00941EA7"/>
    <w:rsid w:val="00975AD0"/>
    <w:rsid w:val="00984F5F"/>
    <w:rsid w:val="00994693"/>
    <w:rsid w:val="00996277"/>
    <w:rsid w:val="009B7079"/>
    <w:rsid w:val="009B7DC7"/>
    <w:rsid w:val="009D24E1"/>
    <w:rsid w:val="009D47C7"/>
    <w:rsid w:val="00A060D9"/>
    <w:rsid w:val="00A06F54"/>
    <w:rsid w:val="00A207BA"/>
    <w:rsid w:val="00A25810"/>
    <w:rsid w:val="00A32B37"/>
    <w:rsid w:val="00A34757"/>
    <w:rsid w:val="00A73B42"/>
    <w:rsid w:val="00A745E0"/>
    <w:rsid w:val="00A8334E"/>
    <w:rsid w:val="00A85508"/>
    <w:rsid w:val="00A8750E"/>
    <w:rsid w:val="00AA072D"/>
    <w:rsid w:val="00AD73EF"/>
    <w:rsid w:val="00AE0A9C"/>
    <w:rsid w:val="00B0318D"/>
    <w:rsid w:val="00B07274"/>
    <w:rsid w:val="00B30CA0"/>
    <w:rsid w:val="00B352E6"/>
    <w:rsid w:val="00B668C0"/>
    <w:rsid w:val="00B70E7D"/>
    <w:rsid w:val="00B87181"/>
    <w:rsid w:val="00B9190F"/>
    <w:rsid w:val="00B94A80"/>
    <w:rsid w:val="00BA3573"/>
    <w:rsid w:val="00BA448A"/>
    <w:rsid w:val="00BB7D41"/>
    <w:rsid w:val="00BE0429"/>
    <w:rsid w:val="00C05964"/>
    <w:rsid w:val="00C16333"/>
    <w:rsid w:val="00C17C01"/>
    <w:rsid w:val="00C26377"/>
    <w:rsid w:val="00C36178"/>
    <w:rsid w:val="00C53A98"/>
    <w:rsid w:val="00C628C2"/>
    <w:rsid w:val="00C64637"/>
    <w:rsid w:val="00C76353"/>
    <w:rsid w:val="00C825FA"/>
    <w:rsid w:val="00C90F5A"/>
    <w:rsid w:val="00C96AAD"/>
    <w:rsid w:val="00CA0CFC"/>
    <w:rsid w:val="00CA1981"/>
    <w:rsid w:val="00CB0BFF"/>
    <w:rsid w:val="00CB1528"/>
    <w:rsid w:val="00CB6832"/>
    <w:rsid w:val="00CC0CC4"/>
    <w:rsid w:val="00CC2947"/>
    <w:rsid w:val="00CD32B2"/>
    <w:rsid w:val="00D2002B"/>
    <w:rsid w:val="00D3402C"/>
    <w:rsid w:val="00D511D3"/>
    <w:rsid w:val="00D934C3"/>
    <w:rsid w:val="00D969F1"/>
    <w:rsid w:val="00DA2F63"/>
    <w:rsid w:val="00DC68F9"/>
    <w:rsid w:val="00DC7D0E"/>
    <w:rsid w:val="00DD08E6"/>
    <w:rsid w:val="00DF2753"/>
    <w:rsid w:val="00DF5C75"/>
    <w:rsid w:val="00E006D3"/>
    <w:rsid w:val="00E10226"/>
    <w:rsid w:val="00E2507A"/>
    <w:rsid w:val="00E27BEA"/>
    <w:rsid w:val="00E320C6"/>
    <w:rsid w:val="00E324D8"/>
    <w:rsid w:val="00E35B45"/>
    <w:rsid w:val="00E51893"/>
    <w:rsid w:val="00E52E65"/>
    <w:rsid w:val="00E565DB"/>
    <w:rsid w:val="00E57C75"/>
    <w:rsid w:val="00E757FA"/>
    <w:rsid w:val="00E937E9"/>
    <w:rsid w:val="00ED1E05"/>
    <w:rsid w:val="00ED67CE"/>
    <w:rsid w:val="00EF3AE0"/>
    <w:rsid w:val="00EF3C85"/>
    <w:rsid w:val="00F37770"/>
    <w:rsid w:val="00F4290C"/>
    <w:rsid w:val="00F4509F"/>
    <w:rsid w:val="00F46685"/>
    <w:rsid w:val="00F52F77"/>
    <w:rsid w:val="00F6760A"/>
    <w:rsid w:val="00F8466D"/>
    <w:rsid w:val="00F959D1"/>
    <w:rsid w:val="00F96F85"/>
    <w:rsid w:val="00F97801"/>
    <w:rsid w:val="00FC59A5"/>
    <w:rsid w:val="00FD5A0E"/>
    <w:rsid w:val="00FD73C0"/>
    <w:rsid w:val="00F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D8F05"/>
  <w15:docId w15:val="{D42F0F9B-4F17-4A70-8C23-CB786E5B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AE0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 Znak Znak"/>
    <w:basedOn w:val="Normalny"/>
    <w:link w:val="NagwekZnak"/>
    <w:uiPriority w:val="99"/>
    <w:rsid w:val="00EF3AE0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aliases w:val="Nagłówek strony Znak,Nagłówek strony Znak Znak Znak Znak"/>
    <w:basedOn w:val="Domylnaczcionkaakapitu"/>
    <w:link w:val="Nagwek"/>
    <w:uiPriority w:val="99"/>
    <w:rsid w:val="00EF3AE0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F3AE0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F3AE0"/>
    <w:rPr>
      <w:rFonts w:ascii="Arial" w:eastAsia="Calibri" w:hAnsi="Arial" w:cs="Times New Roman"/>
      <w:sz w:val="20"/>
      <w:szCs w:val="20"/>
    </w:rPr>
  </w:style>
  <w:style w:type="paragraph" w:customStyle="1" w:styleId="TEKSTKOMUNIKATU">
    <w:name w:val="TEKST KOMUNIKATU"/>
    <w:basedOn w:val="Tekstpodstawowy"/>
    <w:link w:val="TEKSTKOMUNIKATUZnak"/>
    <w:rsid w:val="00EF3AE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F3AE0"/>
    <w:rPr>
      <w:rFonts w:ascii="Georgia" w:eastAsia="Calibri" w:hAnsi="Georgia" w:cs="Georgia"/>
      <w:kern w:val="16"/>
      <w:sz w:val="24"/>
      <w:szCs w:val="24"/>
      <w:lang w:val="en-US" w:eastAsia="pl-PL"/>
    </w:rPr>
  </w:style>
  <w:style w:type="paragraph" w:customStyle="1" w:styleId="TYTUKOMUNIKATU">
    <w:name w:val="TYTUŁ KOMUNIKATU"/>
    <w:basedOn w:val="Normalny"/>
    <w:link w:val="TYTUKOMUNIKATUZnak"/>
    <w:rsid w:val="00EF3AE0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Pogrubienie">
    <w:name w:val="Strong"/>
    <w:uiPriority w:val="22"/>
    <w:qFormat/>
    <w:rsid w:val="00EF3AE0"/>
    <w:rPr>
      <w:b/>
      <w:bCs/>
    </w:rPr>
  </w:style>
  <w:style w:type="character" w:customStyle="1" w:styleId="TYTUKOMUNIKATUZnak">
    <w:name w:val="TYTUŁ KOMUNIKATU Znak"/>
    <w:link w:val="TYTUKOMUNIKATU"/>
    <w:rsid w:val="00EF3AE0"/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3A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3AE0"/>
    <w:rPr>
      <w:rFonts w:ascii="Trebuchet MS" w:eastAsia="Times New Roman" w:hAnsi="Trebuchet MS" w:cs="Times New Roman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4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F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F8B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F8B"/>
    <w:rPr>
      <w:rFonts w:ascii="Trebuchet MS" w:eastAsia="Times New Roman" w:hAnsi="Trebuchet MS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F8B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F8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rsid w:val="007D49E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D49EA"/>
  </w:style>
  <w:style w:type="paragraph" w:styleId="Poprawka">
    <w:name w:val="Revision"/>
    <w:hidden/>
    <w:uiPriority w:val="99"/>
    <w:semiHidden/>
    <w:rsid w:val="00F96F85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istotny_poglad_w_sprawie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UOKiKgov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prasowe@uoki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istotny_poglad_w_sprawie.ph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39525-F843-4649-8002-4BE7FB2C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Walczak</dc:creator>
  <cp:keywords/>
  <dc:description/>
  <cp:lastModifiedBy>Agnieszka Majchrzak</cp:lastModifiedBy>
  <cp:revision>3</cp:revision>
  <cp:lastPrinted>2016-08-29T10:53:00Z</cp:lastPrinted>
  <dcterms:created xsi:type="dcterms:W3CDTF">2016-11-16T09:53:00Z</dcterms:created>
  <dcterms:modified xsi:type="dcterms:W3CDTF">2016-11-16T10:14:00Z</dcterms:modified>
</cp:coreProperties>
</file>