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97" w:rsidRDefault="008C0097" w:rsidP="008C0097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ZGODA WARUNKOWA: MULTIKINO - CINEMA 3D</w:t>
      </w:r>
    </w:p>
    <w:p w:rsidR="008C0097" w:rsidRDefault="008C0097" w:rsidP="008C0097">
      <w:pPr>
        <w:numPr>
          <w:ilvl w:val="0"/>
          <w:numId w:val="16"/>
        </w:numPr>
        <w:spacing w:after="240" w:line="360" w:lineRule="auto"/>
        <w:ind w:left="714" w:hanging="357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>UOKiK wydał zgodę na przejęcie przez Multikino kontroli nad Cinema 3D.</w:t>
      </w:r>
    </w:p>
    <w:p w:rsidR="008C0097" w:rsidRDefault="008C0097" w:rsidP="008C0097">
      <w:pPr>
        <w:numPr>
          <w:ilvl w:val="0"/>
          <w:numId w:val="16"/>
        </w:numPr>
        <w:spacing w:after="240" w:line="360" w:lineRule="auto"/>
        <w:ind w:left="714" w:hanging="357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>Transakcja może odbyć się pod warunkiem sprzedaży kina przejmowanej spółki w Galerii Morena w Gdańsku.</w:t>
      </w:r>
    </w:p>
    <w:p w:rsidR="008C0097" w:rsidRDefault="008C0097" w:rsidP="008C009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43189E">
        <w:rPr>
          <w:b/>
          <w:sz w:val="22"/>
        </w:rPr>
        <w:t xml:space="preserve">20 </w:t>
      </w:r>
      <w:bookmarkStart w:id="0" w:name="_GoBack"/>
      <w:bookmarkEnd w:id="0"/>
      <w:r>
        <w:rPr>
          <w:b/>
          <w:sz w:val="22"/>
        </w:rPr>
        <w:t>maja 2019 r.]</w:t>
      </w:r>
      <w:r>
        <w:rPr>
          <w:sz w:val="22"/>
        </w:rPr>
        <w:t xml:space="preserve"> Uczestnicy transakcji są operatorami kinowymi. Multikino prowadzi </w:t>
      </w:r>
      <w:r w:rsidR="000570C6">
        <w:rPr>
          <w:sz w:val="22"/>
        </w:rPr>
        <w:t xml:space="preserve">32 </w:t>
      </w:r>
      <w:r>
        <w:rPr>
          <w:sz w:val="22"/>
        </w:rPr>
        <w:t>kin</w:t>
      </w:r>
      <w:r w:rsidR="00F51F71">
        <w:rPr>
          <w:sz w:val="22"/>
        </w:rPr>
        <w:t>a</w:t>
      </w:r>
      <w:r>
        <w:rPr>
          <w:sz w:val="22"/>
        </w:rPr>
        <w:t xml:space="preserve"> w </w:t>
      </w:r>
      <w:r w:rsidR="000570C6">
        <w:rPr>
          <w:sz w:val="22"/>
        </w:rPr>
        <w:t xml:space="preserve">27 </w:t>
      </w:r>
      <w:r>
        <w:rPr>
          <w:sz w:val="22"/>
        </w:rPr>
        <w:t xml:space="preserve">miejscowościach, Cinema 3D jest właścicielem 12 kin w 12 miastach. </w:t>
      </w:r>
    </w:p>
    <w:p w:rsidR="008C0097" w:rsidRDefault="008C0097" w:rsidP="008C009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 analizie wniosku urząd skierował postępowanie do drugiego etapu. Konieczne było przeprowadzenie </w:t>
      </w:r>
      <w:hyperlink r:id="rId8" w:history="1">
        <w:r w:rsidRPr="000B1355">
          <w:rPr>
            <w:rStyle w:val="Hipercze"/>
            <w:sz w:val="22"/>
          </w:rPr>
          <w:t>badania rynku</w:t>
        </w:r>
      </w:hyperlink>
      <w:r w:rsidRPr="007955E4">
        <w:rPr>
          <w:sz w:val="22"/>
        </w:rPr>
        <w:t xml:space="preserve"> </w:t>
      </w:r>
      <w:r>
        <w:rPr>
          <w:sz w:val="22"/>
        </w:rPr>
        <w:t xml:space="preserve">w Warszawie i Trójmieście. W tych miastach pokrywa się działalność obu przedsiębiorców. Wyniki analizy pokazały zagrożenie dla konkurencji, dlatego urząd wystosował </w:t>
      </w:r>
      <w:hyperlink r:id="rId9" w:history="1">
        <w:r w:rsidRPr="000B1355">
          <w:rPr>
            <w:rStyle w:val="Hipercze"/>
            <w:sz w:val="22"/>
          </w:rPr>
          <w:t>zastrzeżenia do koncentracji</w:t>
        </w:r>
      </w:hyperlink>
      <w:r>
        <w:rPr>
          <w:sz w:val="22"/>
        </w:rPr>
        <w:t>.</w:t>
      </w:r>
    </w:p>
    <w:p w:rsidR="008C0097" w:rsidRDefault="008C0097" w:rsidP="008C009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AD7666">
        <w:rPr>
          <w:i/>
          <w:sz w:val="22"/>
        </w:rPr>
        <w:t xml:space="preserve">Nasze postępowanie wykazało, że zgoda na koncentrację oznaczałaby ograniczenie konkurencji. Możliwe było jednak wydanie zgody warunkowej. Stwierdziliśmy, że sprzedaż </w:t>
      </w:r>
      <w:r>
        <w:rPr>
          <w:i/>
          <w:sz w:val="22"/>
        </w:rPr>
        <w:t>Cinema 3D</w:t>
      </w:r>
      <w:r w:rsidRPr="00AD7666">
        <w:rPr>
          <w:i/>
          <w:sz w:val="22"/>
        </w:rPr>
        <w:t xml:space="preserve"> </w:t>
      </w:r>
      <w:r>
        <w:rPr>
          <w:i/>
          <w:sz w:val="22"/>
        </w:rPr>
        <w:t xml:space="preserve">w </w:t>
      </w:r>
      <w:r w:rsidRPr="00AD7666">
        <w:rPr>
          <w:i/>
          <w:sz w:val="22"/>
        </w:rPr>
        <w:t>Galerii Morena spowo</w:t>
      </w:r>
      <w:r w:rsidR="008365F6">
        <w:rPr>
          <w:i/>
          <w:sz w:val="22"/>
        </w:rPr>
        <w:t>duje, ż</w:t>
      </w:r>
      <w:r w:rsidRPr="00AD7666">
        <w:rPr>
          <w:i/>
          <w:sz w:val="22"/>
        </w:rPr>
        <w:t xml:space="preserve">e gdańscy konsumenci </w:t>
      </w:r>
      <w:r>
        <w:rPr>
          <w:i/>
          <w:sz w:val="22"/>
        </w:rPr>
        <w:t xml:space="preserve">nadal będą mieli swobodę wyboru kina, w którym chcą obejrzeć film </w:t>
      </w:r>
      <w:r>
        <w:rPr>
          <w:sz w:val="22"/>
        </w:rPr>
        <w:t>– mówi prezes UOKiK, Marek Niechciał.</w:t>
      </w:r>
    </w:p>
    <w:p w:rsidR="008C0097" w:rsidRDefault="008C0097" w:rsidP="008C0097">
      <w:pPr>
        <w:spacing w:after="240" w:line="360" w:lineRule="auto"/>
        <w:jc w:val="both"/>
        <w:rPr>
          <w:sz w:val="22"/>
        </w:rPr>
      </w:pPr>
      <w:r>
        <w:rPr>
          <w:sz w:val="22"/>
        </w:rPr>
        <w:t>Nabywca</w:t>
      </w:r>
      <w:r w:rsidRPr="00377C94">
        <w:rPr>
          <w:sz w:val="22"/>
        </w:rPr>
        <w:t xml:space="preserve"> </w:t>
      </w:r>
      <w:r>
        <w:rPr>
          <w:sz w:val="22"/>
        </w:rPr>
        <w:t>musi zostać zaakceptowany przez UOKiK. Nie będzie mógł należeć do tej samej grupy kapitałowej co Multikino.</w:t>
      </w:r>
      <w:r w:rsidRPr="00FE5084">
        <w:rPr>
          <w:sz w:val="22"/>
        </w:rPr>
        <w:t xml:space="preserve"> </w:t>
      </w:r>
      <w:r>
        <w:rPr>
          <w:sz w:val="22"/>
        </w:rPr>
        <w:t xml:space="preserve">Będzie natomiast musiał posiadać wystarczające zasoby finansowe, wiedzę i doświadczenie do prowadzenia kina. W umowie kupna </w:t>
      </w:r>
      <w:r w:rsidR="008365F6">
        <w:rPr>
          <w:sz w:val="22"/>
        </w:rPr>
        <w:t>musi znaleźć się klauzula, która zagwarantuje, ż</w:t>
      </w:r>
      <w:r>
        <w:rPr>
          <w:sz w:val="22"/>
        </w:rPr>
        <w:t xml:space="preserve">e inwestor będzie prowadził działalność kinową  do 2026 r.  Ponadto Multikino będzie musiało składać do urzędu raport z realizacji warunku. </w:t>
      </w:r>
    </w:p>
    <w:p w:rsidR="008C0097" w:rsidRPr="00377C94" w:rsidRDefault="008C0097" w:rsidP="008C0097">
      <w:pPr>
        <w:spacing w:after="240" w:line="360" w:lineRule="auto"/>
        <w:jc w:val="both"/>
        <w:rPr>
          <w:b/>
          <w:sz w:val="22"/>
        </w:rPr>
      </w:pPr>
      <w:r w:rsidRPr="00377C94">
        <w:rPr>
          <w:b/>
          <w:sz w:val="22"/>
        </w:rPr>
        <w:t>Jak UOKiK wyznaczał rynek</w:t>
      </w:r>
    </w:p>
    <w:p w:rsidR="008C0097" w:rsidRPr="00377C94" w:rsidRDefault="008C0097" w:rsidP="008C0097">
      <w:pPr>
        <w:spacing w:after="240" w:line="360" w:lineRule="auto"/>
        <w:jc w:val="both"/>
        <w:rPr>
          <w:sz w:val="22"/>
        </w:rPr>
      </w:pPr>
      <w:r>
        <w:rPr>
          <w:sz w:val="22"/>
        </w:rPr>
        <w:t>W każdej sprawie dotyczącej kontroli koncentracji kluczową kwestia jest wyznaczenie rynków, na którym działają i zazwyczaj konkurują uczestnicy transakcji. W przypadku kin, UOKiK uznał, że kina wielosalowe</w:t>
      </w:r>
      <w:r w:rsidR="008365F6">
        <w:rPr>
          <w:sz w:val="22"/>
        </w:rPr>
        <w:t xml:space="preserve"> </w:t>
      </w:r>
      <w:r>
        <w:rPr>
          <w:sz w:val="22"/>
        </w:rPr>
        <w:t>stanowią odrębny rynek od</w:t>
      </w:r>
      <w:r w:rsidR="000570C6">
        <w:rPr>
          <w:sz w:val="22"/>
        </w:rPr>
        <w:t xml:space="preserve"> </w:t>
      </w:r>
      <w:r>
        <w:rPr>
          <w:sz w:val="22"/>
        </w:rPr>
        <w:t xml:space="preserve">jednosalowych. </w:t>
      </w:r>
      <w:r w:rsidRPr="00377C94">
        <w:rPr>
          <w:sz w:val="22"/>
        </w:rPr>
        <w:t>Te pierwsze zlokalizowane są przeważnie w centrach handlowych</w:t>
      </w:r>
      <w:r w:rsidR="000570C6">
        <w:rPr>
          <w:sz w:val="22"/>
        </w:rPr>
        <w:t xml:space="preserve"> oraz</w:t>
      </w:r>
      <w:r w:rsidRPr="00377C94">
        <w:rPr>
          <w:sz w:val="22"/>
        </w:rPr>
        <w:t xml:space="preserve"> oferują bardziej zróżnicowany repertuar filmowy. </w:t>
      </w:r>
    </w:p>
    <w:p w:rsidR="008C0097" w:rsidRDefault="008C0097" w:rsidP="008C009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Obszar, na którym kina wielosalowe rywalizują o widza to zdaniem </w:t>
      </w:r>
      <w:r w:rsidR="004D5687">
        <w:rPr>
          <w:sz w:val="22"/>
        </w:rPr>
        <w:t>u</w:t>
      </w:r>
      <w:r>
        <w:rPr>
          <w:sz w:val="22"/>
        </w:rPr>
        <w:t xml:space="preserve">rzędu  promień </w:t>
      </w:r>
      <w:r w:rsidR="000570C6">
        <w:rPr>
          <w:sz w:val="22"/>
        </w:rPr>
        <w:t xml:space="preserve">wyznaczony </w:t>
      </w:r>
      <w:r>
        <w:rPr>
          <w:sz w:val="22"/>
        </w:rPr>
        <w:t>30</w:t>
      </w:r>
      <w:r w:rsidR="000570C6">
        <w:rPr>
          <w:sz w:val="22"/>
        </w:rPr>
        <w:t>-</w:t>
      </w:r>
      <w:r>
        <w:rPr>
          <w:sz w:val="22"/>
        </w:rPr>
        <w:t>minut</w:t>
      </w:r>
      <w:r w:rsidR="000570C6">
        <w:rPr>
          <w:sz w:val="22"/>
        </w:rPr>
        <w:t>owym czasem dojazdu</w:t>
      </w:r>
      <w:r>
        <w:rPr>
          <w:sz w:val="22"/>
        </w:rPr>
        <w:t xml:space="preserve"> samochodem</w:t>
      </w:r>
      <w:r w:rsidR="000570C6">
        <w:rPr>
          <w:sz w:val="22"/>
        </w:rPr>
        <w:t xml:space="preserve"> osobowym po drogach </w:t>
      </w:r>
      <w:r w:rsidR="000570C6">
        <w:rPr>
          <w:sz w:val="22"/>
        </w:rPr>
        <w:lastRenderedPageBreak/>
        <w:t>publicznych</w:t>
      </w:r>
      <w:r>
        <w:rPr>
          <w:sz w:val="22"/>
        </w:rPr>
        <w:t xml:space="preserve">. To maksymalna odległość, jaką konsumenci są skłonni pokonać, żeby obejrzeć film. </w:t>
      </w:r>
    </w:p>
    <w:p w:rsidR="008C0097" w:rsidRPr="00890B5D" w:rsidRDefault="008C0097" w:rsidP="008C0097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890B5D">
        <w:rPr>
          <w:rFonts w:cs="Tahoma"/>
          <w:color w:val="000000" w:themeColor="text1"/>
          <w:sz w:val="22"/>
          <w:lang w:eastAsia="en-GB"/>
        </w:rPr>
        <w:t>Zgodnie z przepisami, transakcja podlega zgłoszeniu do urzędu antymonopolowego, jeżeli biorą w niej udział przedsiębiorcy, których łączny obrót w roku poprzedzającym przekroczył 1 mld euro na świecie lub 50 mln euro w P</w:t>
      </w:r>
      <w:r>
        <w:rPr>
          <w:rFonts w:cs="Tahoma"/>
          <w:color w:val="000000" w:themeColor="text1"/>
          <w:sz w:val="22"/>
          <w:lang w:eastAsia="en-GB"/>
        </w:rPr>
        <w:t>olsce. Oceniając koncentrację, prezes u</w:t>
      </w:r>
      <w:r w:rsidRPr="00890B5D">
        <w:rPr>
          <w:rFonts w:cs="Tahoma"/>
          <w:color w:val="000000" w:themeColor="text1"/>
          <w:sz w:val="22"/>
          <w:lang w:eastAsia="en-GB"/>
        </w:rPr>
        <w:t>rzędu może zakazać transakcji, wydać zgodę na jej dokonanie bądź uzależnić zgodę od spełnienia przez przedsiębiorcę dodatkowych warunków. Wydane decyzje są ważne przez</w:t>
      </w:r>
      <w:r>
        <w:rPr>
          <w:rFonts w:cs="Tahoma"/>
          <w:color w:val="000000" w:themeColor="text1"/>
          <w:sz w:val="22"/>
          <w:lang w:eastAsia="en-GB"/>
        </w:rPr>
        <w:t xml:space="preserve"> dwa lata. Od 2004 r. jest to 28</w:t>
      </w:r>
      <w:r w:rsidRPr="00890B5D">
        <w:rPr>
          <w:rFonts w:cs="Tahoma"/>
          <w:color w:val="000000" w:themeColor="text1"/>
          <w:sz w:val="22"/>
          <w:lang w:eastAsia="en-GB"/>
        </w:rPr>
        <w:t xml:space="preserve">. rozstrzygnięcie  nakładające obowiązki na zgłaszającego transakcję oraz </w:t>
      </w:r>
      <w:r w:rsidR="008365F6">
        <w:rPr>
          <w:rFonts w:cs="Tahoma"/>
          <w:color w:val="000000" w:themeColor="text1"/>
          <w:sz w:val="22"/>
          <w:lang w:eastAsia="en-GB"/>
        </w:rPr>
        <w:t>trzecie</w:t>
      </w:r>
      <w:r w:rsidRPr="00890B5D">
        <w:rPr>
          <w:rFonts w:cs="Tahoma"/>
          <w:color w:val="000000" w:themeColor="text1"/>
          <w:sz w:val="22"/>
          <w:lang w:eastAsia="en-GB"/>
        </w:rPr>
        <w:t xml:space="preserve"> w tym roku.</w:t>
      </w:r>
    </w:p>
    <w:p w:rsidR="008C0097" w:rsidRPr="00840541" w:rsidRDefault="008C0097" w:rsidP="008C0097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890B5D">
        <w:rPr>
          <w:rFonts w:cs="Tahoma"/>
          <w:color w:val="000000" w:themeColor="text1"/>
          <w:sz w:val="22"/>
          <w:lang w:eastAsia="en-GB"/>
        </w:rPr>
        <w:t>Wydana decyzja nie jest prawomocna. Zgłaszającemu przysługuje odwołanie do Sądu Ochrony Konkurencji i Konsumentów. Jednocześnie informujemy, że </w:t>
      </w:r>
      <w:hyperlink r:id="rId10" w:history="1">
        <w:r w:rsidRPr="00840541">
          <w:rPr>
            <w:rFonts w:cs="Tahoma"/>
            <w:color w:val="000000" w:themeColor="text1"/>
            <w:sz w:val="22"/>
            <w:lang w:eastAsia="en-GB"/>
          </w:rPr>
          <w:t>na stronie internetowej Urzędu</w:t>
        </w:r>
      </w:hyperlink>
      <w:r w:rsidRPr="00890B5D">
        <w:rPr>
          <w:rFonts w:cs="Tahoma"/>
          <w:color w:val="000000" w:themeColor="text1"/>
          <w:sz w:val="22"/>
          <w:lang w:eastAsia="en-GB"/>
        </w:rPr>
        <w:t> zamieszczane są informacje na temat wszystkich prowadzonych przez Urząd postępowań antymonopolowych w sprawach koncentracji.</w:t>
      </w:r>
    </w:p>
    <w:p w:rsidR="008C0097" w:rsidRDefault="008C0097" w:rsidP="008C0097">
      <w:pPr>
        <w:spacing w:after="240" w:line="360" w:lineRule="auto"/>
        <w:jc w:val="both"/>
        <w:rPr>
          <w:sz w:val="22"/>
        </w:rPr>
      </w:pPr>
    </w:p>
    <w:p w:rsidR="00C85ED7" w:rsidRPr="007C458B" w:rsidRDefault="00C85ED7" w:rsidP="007C458B"/>
    <w:sectPr w:rsidR="00C85ED7" w:rsidRPr="007C458B" w:rsidSect="008D527A">
      <w:headerReference w:type="default" r:id="rId11"/>
      <w:footerReference w:type="default" r:id="rId12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99" w:rsidRDefault="00771499">
      <w:r>
        <w:separator/>
      </w:r>
    </w:p>
  </w:endnote>
  <w:endnote w:type="continuationSeparator" w:id="0">
    <w:p w:rsidR="00771499" w:rsidRDefault="0077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7C458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96D744D" wp14:editId="396846D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7138259" wp14:editId="127C31AE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82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A8D2B" wp14:editId="7B5683D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6F383A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99" w:rsidRDefault="00771499">
      <w:r>
        <w:separator/>
      </w:r>
    </w:p>
  </w:footnote>
  <w:footnote w:type="continuationSeparator" w:id="0">
    <w:p w:rsidR="00771499" w:rsidRDefault="0077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9473FCD" wp14:editId="3D679289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771499" w:rsidP="0041396E">
    <w:pPr>
      <w:pStyle w:val="Nagwek"/>
      <w:tabs>
        <w:tab w:val="clear" w:pos="9072"/>
      </w:tabs>
    </w:pPr>
  </w:p>
  <w:p w:rsidR="0059016B" w:rsidRDefault="0077149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69"/>
    <w:multiLevelType w:val="hybridMultilevel"/>
    <w:tmpl w:val="29AA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796"/>
    <w:multiLevelType w:val="hybridMultilevel"/>
    <w:tmpl w:val="8284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27CE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DB8"/>
    <w:rsid w:val="00007E00"/>
    <w:rsid w:val="00011AF2"/>
    <w:rsid w:val="0001745E"/>
    <w:rsid w:val="00022F1A"/>
    <w:rsid w:val="00023634"/>
    <w:rsid w:val="00042F96"/>
    <w:rsid w:val="0004619E"/>
    <w:rsid w:val="000570C6"/>
    <w:rsid w:val="000651E9"/>
    <w:rsid w:val="00073AA7"/>
    <w:rsid w:val="00074A73"/>
    <w:rsid w:val="00076A58"/>
    <w:rsid w:val="000838EF"/>
    <w:rsid w:val="00092D5E"/>
    <w:rsid w:val="00096C58"/>
    <w:rsid w:val="000A74FA"/>
    <w:rsid w:val="000B149D"/>
    <w:rsid w:val="000B1AC5"/>
    <w:rsid w:val="000B3817"/>
    <w:rsid w:val="000B7247"/>
    <w:rsid w:val="000E2635"/>
    <w:rsid w:val="000E6C7E"/>
    <w:rsid w:val="000F34E0"/>
    <w:rsid w:val="00102E1F"/>
    <w:rsid w:val="0010559C"/>
    <w:rsid w:val="00107844"/>
    <w:rsid w:val="00120FBD"/>
    <w:rsid w:val="0012424D"/>
    <w:rsid w:val="0013159A"/>
    <w:rsid w:val="0013353F"/>
    <w:rsid w:val="00135455"/>
    <w:rsid w:val="00136534"/>
    <w:rsid w:val="00143310"/>
    <w:rsid w:val="00144E9C"/>
    <w:rsid w:val="001471F0"/>
    <w:rsid w:val="00161094"/>
    <w:rsid w:val="0016315C"/>
    <w:rsid w:val="00163DF9"/>
    <w:rsid w:val="001666D6"/>
    <w:rsid w:val="00166B5D"/>
    <w:rsid w:val="001675EF"/>
    <w:rsid w:val="0017028A"/>
    <w:rsid w:val="0017328E"/>
    <w:rsid w:val="001869DE"/>
    <w:rsid w:val="00190D5A"/>
    <w:rsid w:val="00192846"/>
    <w:rsid w:val="001979B5"/>
    <w:rsid w:val="001A5F7C"/>
    <w:rsid w:val="001A6E5B"/>
    <w:rsid w:val="001A7451"/>
    <w:rsid w:val="001B646C"/>
    <w:rsid w:val="001C1FAD"/>
    <w:rsid w:val="001C4342"/>
    <w:rsid w:val="001D0692"/>
    <w:rsid w:val="001E188E"/>
    <w:rsid w:val="001E24A2"/>
    <w:rsid w:val="001E4F92"/>
    <w:rsid w:val="001F3276"/>
    <w:rsid w:val="001F4A36"/>
    <w:rsid w:val="001F4A73"/>
    <w:rsid w:val="001F5C00"/>
    <w:rsid w:val="00204EF7"/>
    <w:rsid w:val="00205580"/>
    <w:rsid w:val="0020630E"/>
    <w:rsid w:val="002157BB"/>
    <w:rsid w:val="002262B5"/>
    <w:rsid w:val="0023138D"/>
    <w:rsid w:val="002326BD"/>
    <w:rsid w:val="00233D63"/>
    <w:rsid w:val="00234891"/>
    <w:rsid w:val="00237E4F"/>
    <w:rsid w:val="0024118E"/>
    <w:rsid w:val="00241BAC"/>
    <w:rsid w:val="0025308F"/>
    <w:rsid w:val="002565A6"/>
    <w:rsid w:val="00260382"/>
    <w:rsid w:val="00261525"/>
    <w:rsid w:val="00262A9F"/>
    <w:rsid w:val="00266CB4"/>
    <w:rsid w:val="00267DD1"/>
    <w:rsid w:val="002801AA"/>
    <w:rsid w:val="00283C02"/>
    <w:rsid w:val="00285773"/>
    <w:rsid w:val="00295B34"/>
    <w:rsid w:val="002A5D69"/>
    <w:rsid w:val="002B1DBF"/>
    <w:rsid w:val="002C0D5D"/>
    <w:rsid w:val="002C3E1E"/>
    <w:rsid w:val="002C692D"/>
    <w:rsid w:val="002C6ABE"/>
    <w:rsid w:val="002E2C93"/>
    <w:rsid w:val="002E388C"/>
    <w:rsid w:val="002F1BF3"/>
    <w:rsid w:val="002F4379"/>
    <w:rsid w:val="002F4D43"/>
    <w:rsid w:val="00300B1B"/>
    <w:rsid w:val="003056C6"/>
    <w:rsid w:val="00311B14"/>
    <w:rsid w:val="00324306"/>
    <w:rsid w:val="003278D6"/>
    <w:rsid w:val="003303F0"/>
    <w:rsid w:val="0034059B"/>
    <w:rsid w:val="003460E9"/>
    <w:rsid w:val="0035019C"/>
    <w:rsid w:val="00360248"/>
    <w:rsid w:val="00366A46"/>
    <w:rsid w:val="003708D1"/>
    <w:rsid w:val="00377A0D"/>
    <w:rsid w:val="0038032C"/>
    <w:rsid w:val="0038677D"/>
    <w:rsid w:val="003907A6"/>
    <w:rsid w:val="00391941"/>
    <w:rsid w:val="003958F1"/>
    <w:rsid w:val="00397C4C"/>
    <w:rsid w:val="003A1AA9"/>
    <w:rsid w:val="003A50F0"/>
    <w:rsid w:val="003B1A4C"/>
    <w:rsid w:val="003B23A9"/>
    <w:rsid w:val="003B6FD2"/>
    <w:rsid w:val="003C2896"/>
    <w:rsid w:val="003C3A90"/>
    <w:rsid w:val="003D0240"/>
    <w:rsid w:val="003D3FF4"/>
    <w:rsid w:val="003D7161"/>
    <w:rsid w:val="003E3F9D"/>
    <w:rsid w:val="003E69E5"/>
    <w:rsid w:val="004005B5"/>
    <w:rsid w:val="0040748E"/>
    <w:rsid w:val="00412206"/>
    <w:rsid w:val="00413634"/>
    <w:rsid w:val="00417ACF"/>
    <w:rsid w:val="00427E08"/>
    <w:rsid w:val="0043189E"/>
    <w:rsid w:val="004349BA"/>
    <w:rsid w:val="0043575C"/>
    <w:rsid w:val="004365C7"/>
    <w:rsid w:val="004367F1"/>
    <w:rsid w:val="004425B7"/>
    <w:rsid w:val="00444A85"/>
    <w:rsid w:val="004559D2"/>
    <w:rsid w:val="00462CFA"/>
    <w:rsid w:val="00467B62"/>
    <w:rsid w:val="004740FD"/>
    <w:rsid w:val="00486DB1"/>
    <w:rsid w:val="00493E10"/>
    <w:rsid w:val="00495B9B"/>
    <w:rsid w:val="00496FB8"/>
    <w:rsid w:val="004972E8"/>
    <w:rsid w:val="004A4C64"/>
    <w:rsid w:val="004B0E25"/>
    <w:rsid w:val="004C0F9E"/>
    <w:rsid w:val="004C1243"/>
    <w:rsid w:val="004C4A52"/>
    <w:rsid w:val="004C5C26"/>
    <w:rsid w:val="004D4170"/>
    <w:rsid w:val="004D5687"/>
    <w:rsid w:val="004E0711"/>
    <w:rsid w:val="004F2CDB"/>
    <w:rsid w:val="004F7E99"/>
    <w:rsid w:val="005003F9"/>
    <w:rsid w:val="0050417B"/>
    <w:rsid w:val="00506912"/>
    <w:rsid w:val="005133CE"/>
    <w:rsid w:val="00514EE1"/>
    <w:rsid w:val="00521BA3"/>
    <w:rsid w:val="00523E0D"/>
    <w:rsid w:val="00525588"/>
    <w:rsid w:val="0052710E"/>
    <w:rsid w:val="00531855"/>
    <w:rsid w:val="005442FC"/>
    <w:rsid w:val="0055267C"/>
    <w:rsid w:val="0055631D"/>
    <w:rsid w:val="00561C38"/>
    <w:rsid w:val="005653DE"/>
    <w:rsid w:val="00580E15"/>
    <w:rsid w:val="00593935"/>
    <w:rsid w:val="005973FD"/>
    <w:rsid w:val="00597C68"/>
    <w:rsid w:val="005A382B"/>
    <w:rsid w:val="005A4047"/>
    <w:rsid w:val="005C0D39"/>
    <w:rsid w:val="005C6232"/>
    <w:rsid w:val="005D3025"/>
    <w:rsid w:val="005D6F7A"/>
    <w:rsid w:val="005D7D81"/>
    <w:rsid w:val="005E78EE"/>
    <w:rsid w:val="005F139F"/>
    <w:rsid w:val="005F1EBD"/>
    <w:rsid w:val="005F30FA"/>
    <w:rsid w:val="005F5568"/>
    <w:rsid w:val="006063D0"/>
    <w:rsid w:val="00606EA8"/>
    <w:rsid w:val="00613C45"/>
    <w:rsid w:val="00621B8F"/>
    <w:rsid w:val="00621D65"/>
    <w:rsid w:val="00633D4E"/>
    <w:rsid w:val="0063526F"/>
    <w:rsid w:val="00637E86"/>
    <w:rsid w:val="006422DE"/>
    <w:rsid w:val="006439FA"/>
    <w:rsid w:val="00655A78"/>
    <w:rsid w:val="006571FD"/>
    <w:rsid w:val="0067485D"/>
    <w:rsid w:val="0068687E"/>
    <w:rsid w:val="00692A9C"/>
    <w:rsid w:val="00692C4B"/>
    <w:rsid w:val="00694A21"/>
    <w:rsid w:val="006959A1"/>
    <w:rsid w:val="00697165"/>
    <w:rsid w:val="006A2065"/>
    <w:rsid w:val="006A3D88"/>
    <w:rsid w:val="006A4A7A"/>
    <w:rsid w:val="006A5625"/>
    <w:rsid w:val="006B0848"/>
    <w:rsid w:val="006B733D"/>
    <w:rsid w:val="006C17E1"/>
    <w:rsid w:val="006C34AE"/>
    <w:rsid w:val="006C67AF"/>
    <w:rsid w:val="006D191E"/>
    <w:rsid w:val="006D3DC5"/>
    <w:rsid w:val="006D5726"/>
    <w:rsid w:val="006F04AF"/>
    <w:rsid w:val="006F143B"/>
    <w:rsid w:val="006F49BF"/>
    <w:rsid w:val="006F7823"/>
    <w:rsid w:val="007039EC"/>
    <w:rsid w:val="00705071"/>
    <w:rsid w:val="007156DE"/>
    <w:rsid w:val="0071572D"/>
    <w:rsid w:val="007157BA"/>
    <w:rsid w:val="007169F9"/>
    <w:rsid w:val="007174A6"/>
    <w:rsid w:val="00721DFE"/>
    <w:rsid w:val="007224B3"/>
    <w:rsid w:val="00731303"/>
    <w:rsid w:val="007330D1"/>
    <w:rsid w:val="00733755"/>
    <w:rsid w:val="00734F7B"/>
    <w:rsid w:val="007402E0"/>
    <w:rsid w:val="0074489D"/>
    <w:rsid w:val="007514AD"/>
    <w:rsid w:val="0075164F"/>
    <w:rsid w:val="0075524D"/>
    <w:rsid w:val="007560B0"/>
    <w:rsid w:val="00771499"/>
    <w:rsid w:val="007742DC"/>
    <w:rsid w:val="00775F0F"/>
    <w:rsid w:val="00776C4F"/>
    <w:rsid w:val="007838E4"/>
    <w:rsid w:val="007907DD"/>
    <w:rsid w:val="00794A85"/>
    <w:rsid w:val="00795F88"/>
    <w:rsid w:val="007A19D8"/>
    <w:rsid w:val="007B029A"/>
    <w:rsid w:val="007B5396"/>
    <w:rsid w:val="007C458B"/>
    <w:rsid w:val="007D61C7"/>
    <w:rsid w:val="007E36E4"/>
    <w:rsid w:val="007F0ACE"/>
    <w:rsid w:val="00804024"/>
    <w:rsid w:val="0081753E"/>
    <w:rsid w:val="0083010A"/>
    <w:rsid w:val="008365F6"/>
    <w:rsid w:val="008366E9"/>
    <w:rsid w:val="008457C5"/>
    <w:rsid w:val="0085010E"/>
    <w:rsid w:val="0085454F"/>
    <w:rsid w:val="00867855"/>
    <w:rsid w:val="00872F82"/>
    <w:rsid w:val="0087354F"/>
    <w:rsid w:val="00884708"/>
    <w:rsid w:val="0088499B"/>
    <w:rsid w:val="0088770D"/>
    <w:rsid w:val="00892193"/>
    <w:rsid w:val="00896985"/>
    <w:rsid w:val="008C0097"/>
    <w:rsid w:val="008C1458"/>
    <w:rsid w:val="008C53D0"/>
    <w:rsid w:val="008D0566"/>
    <w:rsid w:val="008D267C"/>
    <w:rsid w:val="008D527A"/>
    <w:rsid w:val="008D56DA"/>
    <w:rsid w:val="008D5771"/>
    <w:rsid w:val="008D69FE"/>
    <w:rsid w:val="008E46B6"/>
    <w:rsid w:val="008E51D0"/>
    <w:rsid w:val="008E7923"/>
    <w:rsid w:val="008F472E"/>
    <w:rsid w:val="008F7E3E"/>
    <w:rsid w:val="00902556"/>
    <w:rsid w:val="0090338C"/>
    <w:rsid w:val="00904EEF"/>
    <w:rsid w:val="0091048E"/>
    <w:rsid w:val="00916EF9"/>
    <w:rsid w:val="00920EBB"/>
    <w:rsid w:val="00924ABC"/>
    <w:rsid w:val="00937606"/>
    <w:rsid w:val="00940E8F"/>
    <w:rsid w:val="00946CD8"/>
    <w:rsid w:val="009518F9"/>
    <w:rsid w:val="0095309C"/>
    <w:rsid w:val="00953D92"/>
    <w:rsid w:val="009648D7"/>
    <w:rsid w:val="009652F2"/>
    <w:rsid w:val="009719ED"/>
    <w:rsid w:val="00986C37"/>
    <w:rsid w:val="00993813"/>
    <w:rsid w:val="00995CCD"/>
    <w:rsid w:val="00997528"/>
    <w:rsid w:val="0099796A"/>
    <w:rsid w:val="009C1346"/>
    <w:rsid w:val="009D05C8"/>
    <w:rsid w:val="009E3C0B"/>
    <w:rsid w:val="009E469E"/>
    <w:rsid w:val="009F2593"/>
    <w:rsid w:val="00A102C3"/>
    <w:rsid w:val="00A10B17"/>
    <w:rsid w:val="00A13244"/>
    <w:rsid w:val="00A163EB"/>
    <w:rsid w:val="00A16862"/>
    <w:rsid w:val="00A172E9"/>
    <w:rsid w:val="00A239AA"/>
    <w:rsid w:val="00A23F26"/>
    <w:rsid w:val="00A27DA4"/>
    <w:rsid w:val="00A439E8"/>
    <w:rsid w:val="00A45753"/>
    <w:rsid w:val="00A53423"/>
    <w:rsid w:val="00A61F16"/>
    <w:rsid w:val="00A62659"/>
    <w:rsid w:val="00A65F20"/>
    <w:rsid w:val="00A70720"/>
    <w:rsid w:val="00A76293"/>
    <w:rsid w:val="00A771C0"/>
    <w:rsid w:val="00A77DA2"/>
    <w:rsid w:val="00A8228D"/>
    <w:rsid w:val="00A85D9D"/>
    <w:rsid w:val="00A92C4C"/>
    <w:rsid w:val="00AA602D"/>
    <w:rsid w:val="00AB1BCF"/>
    <w:rsid w:val="00AB572D"/>
    <w:rsid w:val="00AD37B0"/>
    <w:rsid w:val="00AD6F48"/>
    <w:rsid w:val="00AE2923"/>
    <w:rsid w:val="00AE7F9D"/>
    <w:rsid w:val="00AF312D"/>
    <w:rsid w:val="00B028F7"/>
    <w:rsid w:val="00B22863"/>
    <w:rsid w:val="00B40DA6"/>
    <w:rsid w:val="00B411FB"/>
    <w:rsid w:val="00B41502"/>
    <w:rsid w:val="00B51024"/>
    <w:rsid w:val="00B515A8"/>
    <w:rsid w:val="00B60CD8"/>
    <w:rsid w:val="00B60F9C"/>
    <w:rsid w:val="00B61918"/>
    <w:rsid w:val="00B634F1"/>
    <w:rsid w:val="00B6769E"/>
    <w:rsid w:val="00B73F22"/>
    <w:rsid w:val="00B76F9A"/>
    <w:rsid w:val="00B810B2"/>
    <w:rsid w:val="00B85F93"/>
    <w:rsid w:val="00B96739"/>
    <w:rsid w:val="00BA05A4"/>
    <w:rsid w:val="00BA26F7"/>
    <w:rsid w:val="00BA59F0"/>
    <w:rsid w:val="00BA79F0"/>
    <w:rsid w:val="00BB5068"/>
    <w:rsid w:val="00BB7648"/>
    <w:rsid w:val="00BB7AE8"/>
    <w:rsid w:val="00BC7097"/>
    <w:rsid w:val="00BD0481"/>
    <w:rsid w:val="00BD0AE6"/>
    <w:rsid w:val="00BD4447"/>
    <w:rsid w:val="00BD495C"/>
    <w:rsid w:val="00BE2623"/>
    <w:rsid w:val="00BE3923"/>
    <w:rsid w:val="00BE4BF0"/>
    <w:rsid w:val="00BE58EC"/>
    <w:rsid w:val="00BE5EE5"/>
    <w:rsid w:val="00BE68EE"/>
    <w:rsid w:val="00BE7F63"/>
    <w:rsid w:val="00BF45FB"/>
    <w:rsid w:val="00C123B1"/>
    <w:rsid w:val="00C204BA"/>
    <w:rsid w:val="00C21071"/>
    <w:rsid w:val="00C21FDC"/>
    <w:rsid w:val="00C2398C"/>
    <w:rsid w:val="00C25569"/>
    <w:rsid w:val="00C27366"/>
    <w:rsid w:val="00C50DB5"/>
    <w:rsid w:val="00C63AA8"/>
    <w:rsid w:val="00C73023"/>
    <w:rsid w:val="00C7783C"/>
    <w:rsid w:val="00C80778"/>
    <w:rsid w:val="00C80D92"/>
    <w:rsid w:val="00C82290"/>
    <w:rsid w:val="00C85ED7"/>
    <w:rsid w:val="00C879D0"/>
    <w:rsid w:val="00CA3FCA"/>
    <w:rsid w:val="00CA4A8D"/>
    <w:rsid w:val="00CA6B58"/>
    <w:rsid w:val="00CA6CE7"/>
    <w:rsid w:val="00CB1AE6"/>
    <w:rsid w:val="00CB3ED4"/>
    <w:rsid w:val="00CB3F86"/>
    <w:rsid w:val="00CD34F0"/>
    <w:rsid w:val="00CE0954"/>
    <w:rsid w:val="00CF11F7"/>
    <w:rsid w:val="00CF7AC5"/>
    <w:rsid w:val="00D01614"/>
    <w:rsid w:val="00D1323F"/>
    <w:rsid w:val="00D155F0"/>
    <w:rsid w:val="00D202BA"/>
    <w:rsid w:val="00D251AC"/>
    <w:rsid w:val="00D2727E"/>
    <w:rsid w:val="00D41A19"/>
    <w:rsid w:val="00D43766"/>
    <w:rsid w:val="00D47CCF"/>
    <w:rsid w:val="00D55500"/>
    <w:rsid w:val="00D5691C"/>
    <w:rsid w:val="00D57912"/>
    <w:rsid w:val="00D6457B"/>
    <w:rsid w:val="00D65FE9"/>
    <w:rsid w:val="00D66DEC"/>
    <w:rsid w:val="00D71A41"/>
    <w:rsid w:val="00D72A42"/>
    <w:rsid w:val="00D768A4"/>
    <w:rsid w:val="00D855B3"/>
    <w:rsid w:val="00D86BC5"/>
    <w:rsid w:val="00D92282"/>
    <w:rsid w:val="00D92F52"/>
    <w:rsid w:val="00DA753F"/>
    <w:rsid w:val="00DB5FB9"/>
    <w:rsid w:val="00DB6A7E"/>
    <w:rsid w:val="00DC0C21"/>
    <w:rsid w:val="00DC5754"/>
    <w:rsid w:val="00DD34A3"/>
    <w:rsid w:val="00DD419A"/>
    <w:rsid w:val="00DD6056"/>
    <w:rsid w:val="00DE7C6A"/>
    <w:rsid w:val="00DF2857"/>
    <w:rsid w:val="00DF782B"/>
    <w:rsid w:val="00E03AEF"/>
    <w:rsid w:val="00E102DE"/>
    <w:rsid w:val="00E27277"/>
    <w:rsid w:val="00E42093"/>
    <w:rsid w:val="00E522AD"/>
    <w:rsid w:val="00E5721E"/>
    <w:rsid w:val="00E5733B"/>
    <w:rsid w:val="00E64103"/>
    <w:rsid w:val="00E76CD1"/>
    <w:rsid w:val="00E86E04"/>
    <w:rsid w:val="00EE4AD8"/>
    <w:rsid w:val="00F07215"/>
    <w:rsid w:val="00F139AC"/>
    <w:rsid w:val="00F17B3E"/>
    <w:rsid w:val="00F21EAC"/>
    <w:rsid w:val="00F3243D"/>
    <w:rsid w:val="00F46D0D"/>
    <w:rsid w:val="00F51F71"/>
    <w:rsid w:val="00F52677"/>
    <w:rsid w:val="00F665D0"/>
    <w:rsid w:val="00F73C37"/>
    <w:rsid w:val="00F909AF"/>
    <w:rsid w:val="00F92B59"/>
    <w:rsid w:val="00F948BC"/>
    <w:rsid w:val="00F960CF"/>
    <w:rsid w:val="00FA10A3"/>
    <w:rsid w:val="00FA1226"/>
    <w:rsid w:val="00FD09D8"/>
    <w:rsid w:val="00FE16DF"/>
    <w:rsid w:val="00FF050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35E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TYTUKOMUNIKATU">
    <w:name w:val="TYTUŁ KOMUNIKATU"/>
    <w:basedOn w:val="Normalny"/>
    <w:link w:val="TYTUKOMUNIKATUZnak"/>
    <w:rsid w:val="007C458B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7C458B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46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koncentracj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518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5D91-411A-4DF3-BBA4-1EEDB63E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3</cp:revision>
  <cp:lastPrinted>2019-05-17T08:56:00Z</cp:lastPrinted>
  <dcterms:created xsi:type="dcterms:W3CDTF">2019-05-20T07:59:00Z</dcterms:created>
  <dcterms:modified xsi:type="dcterms:W3CDTF">2019-05-20T08:57:00Z</dcterms:modified>
</cp:coreProperties>
</file>