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31" w:rsidRPr="007656AC" w:rsidRDefault="003F3C31" w:rsidP="003F3C31">
      <w:pPr>
        <w:spacing w:line="360" w:lineRule="auto"/>
        <w:jc w:val="both"/>
        <w:rPr>
          <w:sz w:val="32"/>
          <w:szCs w:val="32"/>
          <w:lang w:val="en-GB"/>
        </w:rPr>
      </w:pPr>
      <w:r w:rsidRPr="007656AC">
        <w:rPr>
          <w:sz w:val="32"/>
          <w:szCs w:val="32"/>
          <w:lang w:val="en-GB"/>
        </w:rPr>
        <w:t>PHASE II OF PROCEEDINGS: BATTERY MARKET</w:t>
      </w:r>
    </w:p>
    <w:p w:rsidR="003F3C31" w:rsidRPr="007656AC" w:rsidRDefault="003F3C31" w:rsidP="003F3C31">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7656AC">
        <w:rPr>
          <w:rFonts w:cs="Tahoma"/>
          <w:b/>
          <w:bCs/>
          <w:color w:val="000000" w:themeColor="text1"/>
          <w:sz w:val="22"/>
          <w:lang w:val="en-GB"/>
        </w:rPr>
        <w:t xml:space="preserve">UOKiK referred </w:t>
      </w:r>
      <w:r w:rsidR="0064706E" w:rsidRPr="007656AC">
        <w:rPr>
          <w:rFonts w:cs="Tahoma"/>
          <w:b/>
          <w:bCs/>
          <w:color w:val="000000" w:themeColor="text1"/>
          <w:sz w:val="22"/>
          <w:lang w:val="en-GB"/>
        </w:rPr>
        <w:t xml:space="preserve">to second phase </w:t>
      </w:r>
      <w:r w:rsidRPr="007656AC">
        <w:rPr>
          <w:rFonts w:cs="Tahoma"/>
          <w:b/>
          <w:bCs/>
          <w:color w:val="000000" w:themeColor="text1"/>
          <w:sz w:val="22"/>
          <w:lang w:val="en-GB"/>
        </w:rPr>
        <w:t>the proceeding</w:t>
      </w:r>
      <w:r w:rsidR="0064706E">
        <w:rPr>
          <w:rFonts w:cs="Tahoma"/>
          <w:b/>
          <w:bCs/>
          <w:color w:val="000000" w:themeColor="text1"/>
          <w:sz w:val="22"/>
          <w:lang w:val="en-GB"/>
        </w:rPr>
        <w:t>s</w:t>
      </w:r>
      <w:r w:rsidRPr="007656AC">
        <w:rPr>
          <w:rFonts w:cs="Tahoma"/>
          <w:b/>
          <w:bCs/>
          <w:color w:val="000000" w:themeColor="text1"/>
          <w:sz w:val="22"/>
          <w:lang w:val="en-GB"/>
        </w:rPr>
        <w:t xml:space="preserve"> on the acquisition of control over NEF Battery Holdings by ZAP Sznajder Batterien.</w:t>
      </w:r>
    </w:p>
    <w:p w:rsidR="003F3C31" w:rsidRPr="007656AC" w:rsidRDefault="003F3C31" w:rsidP="003F3C31">
      <w:pPr>
        <w:pStyle w:val="Akapitzlist"/>
        <w:numPr>
          <w:ilvl w:val="0"/>
          <w:numId w:val="6"/>
        </w:numPr>
        <w:shd w:val="clear" w:color="auto" w:fill="FFFFFF"/>
        <w:spacing w:before="100" w:beforeAutospacing="1" w:after="240" w:line="360" w:lineRule="auto"/>
        <w:jc w:val="both"/>
        <w:rPr>
          <w:rFonts w:cs="Tahoma"/>
          <w:b/>
          <w:color w:val="000000" w:themeColor="text1"/>
          <w:sz w:val="22"/>
          <w:lang w:val="en-GB"/>
        </w:rPr>
      </w:pPr>
      <w:r w:rsidRPr="007656AC">
        <w:rPr>
          <w:rFonts w:cs="Tahoma"/>
          <w:b/>
          <w:bCs/>
          <w:color w:val="000000" w:themeColor="text1"/>
          <w:sz w:val="22"/>
          <w:lang w:val="en-GB"/>
        </w:rPr>
        <w:t>There is a material risk of limited competition in this case.</w:t>
      </w:r>
    </w:p>
    <w:p w:rsidR="007A1DA1" w:rsidRPr="007656AC" w:rsidRDefault="007A0A5C" w:rsidP="003F3C31">
      <w:pPr>
        <w:spacing w:after="240" w:line="360" w:lineRule="auto"/>
        <w:jc w:val="both"/>
        <w:rPr>
          <w:sz w:val="22"/>
          <w:lang w:val="en-GB"/>
        </w:rPr>
      </w:pPr>
      <w:r w:rsidRPr="007656AC">
        <w:rPr>
          <w:b/>
          <w:bCs/>
          <w:sz w:val="22"/>
          <w:lang w:val="en-GB"/>
        </w:rPr>
        <w:t xml:space="preserve">[Warsaw, </w:t>
      </w:r>
      <w:r w:rsidR="00214023">
        <w:rPr>
          <w:b/>
          <w:bCs/>
          <w:sz w:val="22"/>
          <w:lang w:val="en-GB"/>
        </w:rPr>
        <w:t>3</w:t>
      </w:r>
      <w:r w:rsidRPr="007656AC">
        <w:rPr>
          <w:b/>
          <w:bCs/>
          <w:sz w:val="22"/>
          <w:lang w:val="en-GB"/>
        </w:rPr>
        <w:t xml:space="preserve"> </w:t>
      </w:r>
      <w:r w:rsidR="00214023">
        <w:rPr>
          <w:b/>
          <w:bCs/>
          <w:sz w:val="22"/>
          <w:lang w:val="en-GB"/>
        </w:rPr>
        <w:t>June</w:t>
      </w:r>
      <w:r w:rsidRPr="007656AC">
        <w:rPr>
          <w:b/>
          <w:bCs/>
          <w:sz w:val="22"/>
          <w:lang w:val="en-GB"/>
        </w:rPr>
        <w:t xml:space="preserve"> 2019] </w:t>
      </w:r>
      <w:r w:rsidRPr="007656AC">
        <w:rPr>
          <w:sz w:val="22"/>
          <w:lang w:val="en-GB"/>
        </w:rPr>
        <w:t>The transaction</w:t>
      </w:r>
      <w:r w:rsidRPr="007656AC">
        <w:rPr>
          <w:b/>
          <w:bCs/>
          <w:sz w:val="22"/>
          <w:lang w:val="en-GB"/>
        </w:rPr>
        <w:t xml:space="preserve"> </w:t>
      </w:r>
      <w:r w:rsidRPr="007656AC">
        <w:rPr>
          <w:sz w:val="22"/>
          <w:lang w:val="en-GB"/>
        </w:rPr>
        <w:t xml:space="preserve">was reported to UOKiK in April 2019. ZAP Sznajder Batterien manufactures starter batteries for cars, motorcycles, and boats. It also recycles used batteries for its own needs. NEF Battery Holdings purchases and sells shares of companies and manages them. It controls, among others, the company Orzeł Biały, which operates in the market of recycling used batteries and refined lead production. </w:t>
      </w:r>
    </w:p>
    <w:p w:rsidR="00CD3C16" w:rsidRPr="007656AC" w:rsidRDefault="005D71EB" w:rsidP="003F3C31">
      <w:pPr>
        <w:spacing w:after="240" w:line="360" w:lineRule="auto"/>
        <w:jc w:val="both"/>
        <w:rPr>
          <w:sz w:val="22"/>
          <w:lang w:val="en-GB"/>
        </w:rPr>
      </w:pPr>
      <w:r w:rsidRPr="007656AC">
        <w:rPr>
          <w:sz w:val="22"/>
          <w:lang w:val="en-GB"/>
        </w:rPr>
        <w:t xml:space="preserve">In this case, the proceedings must be referred to second phase.  The Office has to verify the data reported by the acquiring company. The market of batteries was checked by UOKiK 10 years ago during the proceeding which ended up in the </w:t>
      </w:r>
      <w:r w:rsidRPr="00214023">
        <w:rPr>
          <w:sz w:val="22"/>
          <w:lang w:val="en-GB"/>
        </w:rPr>
        <w:t>ban on concentration of Orzeł Biały – Baterpol. In order to obtain current data, market</w:t>
      </w:r>
      <w:r w:rsidRPr="007656AC">
        <w:rPr>
          <w:sz w:val="22"/>
          <w:lang w:val="en-GB"/>
        </w:rPr>
        <w:t xml:space="preserve"> research must be conducted.</w:t>
      </w:r>
    </w:p>
    <w:p w:rsidR="003F3C31" w:rsidRPr="007656AC" w:rsidRDefault="003F3C31" w:rsidP="003F3C31">
      <w:pPr>
        <w:spacing w:after="240" w:line="360" w:lineRule="auto"/>
        <w:jc w:val="both"/>
        <w:rPr>
          <w:color w:val="000000" w:themeColor="text1"/>
          <w:sz w:val="22"/>
          <w:lang w:val="en-GB"/>
        </w:rPr>
      </w:pPr>
      <w:r w:rsidRPr="007656AC">
        <w:rPr>
          <w:sz w:val="22"/>
          <w:lang w:val="en-GB"/>
        </w:rPr>
        <w:t xml:space="preserve">Starting the second phase of the proceedings does not prejudge the type of decision that will be issued in the future. The President of the Office of Competition and Consumer Protection may give a consent (unconditional or conditional) for concentration or ban it. At this stage, the company may also withdraw the application. </w:t>
      </w:r>
      <w:r w:rsidRPr="007656AC">
        <w:rPr>
          <w:rFonts w:ascii="Tahoma" w:hAnsi="Tahoma"/>
          <w:color w:val="3C4147"/>
          <w:szCs w:val="18"/>
          <w:shd w:val="clear" w:color="auto" w:fill="FFFFFF"/>
          <w:lang w:val="en-GB"/>
        </w:rPr>
        <w:t> </w:t>
      </w:r>
      <w:r w:rsidR="007656AC" w:rsidRPr="007656AC">
        <w:rPr>
          <w:color w:val="000000" w:themeColor="text1"/>
          <w:sz w:val="22"/>
          <w:shd w:val="clear" w:color="auto" w:fill="FFFFFF"/>
          <w:lang w:val="en-GB"/>
        </w:rPr>
        <w:t>According</w:t>
      </w:r>
      <w:r w:rsidRPr="007656AC">
        <w:rPr>
          <w:color w:val="000000" w:themeColor="text1"/>
          <w:sz w:val="22"/>
          <w:shd w:val="clear" w:color="auto" w:fill="FFFFFF"/>
          <w:lang w:val="en-GB"/>
        </w:rPr>
        <w:t xml:space="preserve"> to the anti-monopoly law, in such situation UOKiK will obligatorily discontinue the proceedings underway, and the reported concentration will not take place. </w:t>
      </w:r>
    </w:p>
    <w:p w:rsidR="003F3C31" w:rsidRPr="007656AC" w:rsidRDefault="003F3C31" w:rsidP="003F3C31">
      <w:pPr>
        <w:spacing w:after="240" w:line="360" w:lineRule="auto"/>
        <w:jc w:val="both"/>
        <w:outlineLvl w:val="2"/>
        <w:rPr>
          <w:rFonts w:cs="Tahoma"/>
          <w:b/>
          <w:bCs/>
          <w:sz w:val="22"/>
          <w:lang w:val="en-GB"/>
        </w:rPr>
      </w:pPr>
      <w:r w:rsidRPr="007656AC">
        <w:rPr>
          <w:rFonts w:cs="Tahoma"/>
          <w:b/>
          <w:bCs/>
          <w:sz w:val="22"/>
          <w:lang w:val="en-GB"/>
        </w:rPr>
        <w:t xml:space="preserve">Additional information </w:t>
      </w:r>
    </w:p>
    <w:p w:rsidR="003F3C31" w:rsidRPr="007656AC" w:rsidRDefault="003F3C31" w:rsidP="003F3C31">
      <w:pPr>
        <w:spacing w:after="100" w:afterAutospacing="1" w:line="372" w:lineRule="auto"/>
        <w:jc w:val="both"/>
        <w:rPr>
          <w:rFonts w:cs="Tahoma"/>
          <w:sz w:val="22"/>
          <w:lang w:val="en-GB"/>
        </w:rPr>
      </w:pPr>
      <w:r w:rsidRPr="007656AC">
        <w:rPr>
          <w:rFonts w:cs="Tahoma"/>
          <w:sz w:val="22"/>
          <w:lang w:val="en-GB"/>
        </w:rPr>
        <w:t xml:space="preserve">According to </w:t>
      </w:r>
      <w:hyperlink r:id="rId7" w:history="1">
        <w:r w:rsidRPr="007656AC">
          <w:rPr>
            <w:rStyle w:val="Hipercze"/>
            <w:rFonts w:cs="Tahoma"/>
            <w:sz w:val="22"/>
            <w:lang w:val="en-GB"/>
          </w:rPr>
          <w:t>the act on protection of competition and consumers</w:t>
        </w:r>
      </w:hyperlink>
      <w:r w:rsidRPr="007656AC">
        <w:rPr>
          <w:rFonts w:cs="Tahoma"/>
          <w:sz w:val="22"/>
          <w:lang w:val="en-GB"/>
        </w:rPr>
        <w:t xml:space="preserve">, proceedings in concentration cases consists of two phases. The first stage lasts up to one month. In cases that are particularly complex, where there is a likelihood of material limitation of competition or market research is needed, the proceedings may take longer. </w:t>
      </w:r>
    </w:p>
    <w:p w:rsidR="006B628A" w:rsidRPr="00214023" w:rsidRDefault="00214023" w:rsidP="00214023">
      <w:pPr>
        <w:spacing w:after="100" w:afterAutospacing="1" w:line="372" w:lineRule="auto"/>
        <w:jc w:val="both"/>
        <w:rPr>
          <w:rStyle w:val="Pogrubienie"/>
          <w:rFonts w:cs="Tahoma"/>
          <w:b w:val="0"/>
          <w:bCs w:val="0"/>
          <w:sz w:val="22"/>
          <w:lang w:val="en-GB"/>
        </w:rPr>
      </w:pPr>
      <w:hyperlink r:id="rId8" w:history="1">
        <w:r w:rsidR="00A25C11" w:rsidRPr="007656AC">
          <w:rPr>
            <w:rStyle w:val="Hipercze"/>
            <w:rFonts w:cs="Tahoma"/>
            <w:sz w:val="22"/>
            <w:lang w:val="en-GB"/>
          </w:rPr>
          <w:t>UOKiK’s website</w:t>
        </w:r>
      </w:hyperlink>
      <w:r w:rsidR="00A25C11" w:rsidRPr="007656AC">
        <w:rPr>
          <w:rFonts w:cs="Tahoma"/>
          <w:sz w:val="22"/>
          <w:lang w:val="en-GB"/>
        </w:rPr>
        <w:t xml:space="preserve"> publishes information on all anti-monopoly proceedings conducted by the office in concentration cases. For more information on the rules of concentration of businesses, go to </w:t>
      </w:r>
      <w:hyperlink r:id="rId9" w:history="1">
        <w:r w:rsidR="00A25C11" w:rsidRPr="007656AC">
          <w:rPr>
            <w:rStyle w:val="Hipercze"/>
            <w:rFonts w:cs="Tahoma"/>
            <w:sz w:val="22"/>
            <w:lang w:val="en-GB"/>
          </w:rPr>
          <w:t>the special study.</w:t>
        </w:r>
      </w:hyperlink>
      <w:r w:rsidR="00A25C11" w:rsidRPr="007656AC">
        <w:rPr>
          <w:rFonts w:cs="Tahoma"/>
          <w:sz w:val="22"/>
          <w:lang w:val="en-GB"/>
        </w:rPr>
        <w:t xml:space="preserve"> </w:t>
      </w:r>
    </w:p>
    <w:p w:rsidR="003F3C31" w:rsidRPr="007656AC" w:rsidRDefault="003F3C31" w:rsidP="003F3C31">
      <w:pPr>
        <w:spacing w:before="240" w:after="240" w:line="360" w:lineRule="auto"/>
        <w:jc w:val="both"/>
        <w:rPr>
          <w:rFonts w:cs="Tahoma"/>
          <w:sz w:val="22"/>
          <w:lang w:val="en-GB"/>
        </w:rPr>
      </w:pPr>
      <w:r w:rsidRPr="007656AC">
        <w:rPr>
          <w:rStyle w:val="Pogrubienie"/>
          <w:rFonts w:cs="Tahoma"/>
          <w:color w:val="000000"/>
          <w:szCs w:val="18"/>
          <w:lang w:val="en-GB"/>
        </w:rPr>
        <w:t>Additional information for the media:</w:t>
      </w:r>
      <w:r w:rsidRPr="007656AC">
        <w:rPr>
          <w:rFonts w:cs="Tahoma"/>
          <w:color w:val="000000"/>
          <w:szCs w:val="18"/>
          <w:lang w:val="en-GB"/>
        </w:rPr>
        <w:t xml:space="preserve"> </w:t>
      </w:r>
    </w:p>
    <w:p w:rsidR="00B73F22" w:rsidRPr="00214023" w:rsidRDefault="003F3C31" w:rsidP="00214023">
      <w:pPr>
        <w:pStyle w:val="TEKSTKOMUNIKATU"/>
        <w:jc w:val="left"/>
        <w:rPr>
          <w:rFonts w:ascii="Trebuchet MS" w:hAnsi="Trebuchet MS" w:cs="Tahoma"/>
          <w:color w:val="000000"/>
          <w:sz w:val="18"/>
          <w:szCs w:val="18"/>
          <w:lang w:val="en-GB"/>
        </w:rPr>
      </w:pPr>
      <w:r w:rsidRPr="007656AC">
        <w:rPr>
          <w:rFonts w:ascii="Trebuchet MS" w:hAnsi="Trebuchet MS"/>
          <w:color w:val="000000"/>
          <w:sz w:val="18"/>
          <w:szCs w:val="18"/>
          <w:lang w:val="en-GB"/>
        </w:rPr>
        <w:t xml:space="preserve">UOKiK Press Office  </w:t>
      </w:r>
      <w:r w:rsidRPr="007656AC">
        <w:rPr>
          <w:rFonts w:ascii="Trebuchet MS" w:hAnsi="Trebuchet MS"/>
          <w:color w:val="000000"/>
          <w:sz w:val="18"/>
          <w:szCs w:val="18"/>
          <w:lang w:val="en-GB"/>
        </w:rPr>
        <w:br/>
        <w:t xml:space="preserve">Pl. Powstańców Warszawy 1, 00-950 Warsaw </w:t>
      </w:r>
      <w:r w:rsidRPr="007656AC">
        <w:rPr>
          <w:rFonts w:ascii="Trebuchet MS" w:hAnsi="Trebuchet MS"/>
          <w:color w:val="000000"/>
          <w:sz w:val="18"/>
          <w:szCs w:val="18"/>
          <w:lang w:val="en-GB"/>
        </w:rPr>
        <w:br/>
        <w:t>Phone 695 902 088, 22 55 60 430</w:t>
      </w:r>
      <w:r w:rsidRPr="007656AC">
        <w:rPr>
          <w:rFonts w:ascii="Trebuchet MS" w:hAnsi="Trebuchet MS"/>
          <w:color w:val="000000"/>
          <w:sz w:val="18"/>
          <w:szCs w:val="18"/>
          <w:lang w:val="en-GB"/>
        </w:rPr>
        <w:br/>
        <w:t xml:space="preserve">E-mail: </w:t>
      </w:r>
      <w:hyperlink r:id="rId10" w:tooltip="please send your e-mail to the address: malgorzata.cieloch@uokik.gov.pl" w:history="1">
        <w:r w:rsidRPr="007656AC">
          <w:rPr>
            <w:rStyle w:val="Hipercze"/>
            <w:rFonts w:ascii="Trebuchet MS" w:hAnsi="Trebuchet MS" w:cs="Tahoma"/>
            <w:color w:val="000000"/>
            <w:sz w:val="18"/>
            <w:szCs w:val="18"/>
            <w:lang w:val="en-GB"/>
          </w:rPr>
          <w:t>biuroprasowe@uokik.gov.pl</w:t>
        </w:r>
      </w:hyperlink>
      <w:r w:rsidRPr="007656AC">
        <w:rPr>
          <w:rStyle w:val="Hipercze"/>
          <w:rFonts w:ascii="Trebuchet MS" w:hAnsi="Trebuchet MS" w:cs="Tahoma"/>
          <w:color w:val="000000"/>
          <w:sz w:val="18"/>
          <w:szCs w:val="18"/>
          <w:u w:val="none"/>
          <w:lang w:val="en-GB"/>
        </w:rPr>
        <w:br/>
      </w:r>
      <w:r w:rsidRPr="007656AC">
        <w:rPr>
          <w:rFonts w:ascii="Trebuchet MS" w:hAnsi="Trebuchet MS"/>
          <w:sz w:val="18"/>
          <w:szCs w:val="18"/>
          <w:lang w:val="en-GB"/>
        </w:rPr>
        <w:t xml:space="preserve">Twitter: </w:t>
      </w:r>
      <w:hyperlink r:id="rId11" w:history="1">
        <w:r w:rsidRPr="007656AC">
          <w:rPr>
            <w:rStyle w:val="Hipercze"/>
            <w:rFonts w:ascii="Trebuchet MS" w:hAnsi="Trebuchet MS"/>
            <w:sz w:val="18"/>
            <w:szCs w:val="18"/>
            <w:lang w:val="en-GB"/>
          </w:rPr>
          <w:t>@</w:t>
        </w:r>
        <w:r w:rsidRPr="007656AC">
          <w:rPr>
            <w:rStyle w:val="u-linkcomplex-target"/>
            <w:rFonts w:ascii="Trebuchet MS" w:hAnsi="Trebuchet MS"/>
            <w:color w:val="0000FF"/>
            <w:sz w:val="18"/>
            <w:szCs w:val="18"/>
            <w:u w:val="single"/>
            <w:lang w:val="en-GB"/>
          </w:rPr>
          <w:t>UOKiKgovPL</w:t>
        </w:r>
      </w:hyperlink>
    </w:p>
    <w:sectPr w:rsidR="00B73F22" w:rsidRPr="00214023" w:rsidSect="008D527A">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D1" w:rsidRDefault="007104D1">
      <w:r>
        <w:separator/>
      </w:r>
    </w:p>
  </w:endnote>
  <w:endnote w:type="continuationSeparator" w:id="0">
    <w:p w:rsidR="007104D1" w:rsidRDefault="0071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23" w:rsidRDefault="002140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Pr="00924ABC" w:rsidRDefault="003F3C31" w:rsidP="008D527A">
    <w:pPr>
      <w:pStyle w:val="Stopka"/>
      <w:rPr>
        <w:rFonts w:ascii="Segoe UI Semibold" w:hAnsi="Segoe UI Semibold" w:cs="Segoe UI Semibold"/>
        <w:color w:val="595959" w:themeColor="text1" w:themeTint="A6"/>
        <w:sz w:val="16"/>
        <w:szCs w:val="16"/>
      </w:rPr>
    </w:pPr>
    <w:r>
      <w:rPr>
        <w:noProof/>
        <w:lang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anchor>
      </w:drawing>
    </w:r>
    <w:r w:rsidR="00214023">
      <w:rPr>
        <w:noProof/>
        <w:color w:val="595959" w:themeColor="text1" w:themeTint="A6"/>
        <w:sz w:val="16"/>
        <w:szCs w:val="16"/>
        <w:lang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 xml:space="preserve">PRESS </w:t>
                          </w:r>
                          <w:r w:rsidR="00214023">
                            <w:rPr>
                              <w:rFonts w:ascii="Segoe UI Black" w:hAnsi="Segoe UI Black"/>
                              <w:color w:val="C77D4C"/>
                              <w:sz w:val="28"/>
                              <w:szCs w:val="28"/>
                            </w:rPr>
                            <w:t>RELEASE</w:t>
                          </w:r>
                          <w:r>
                            <w:rPr>
                              <w:rFonts w:ascii="Segoe UI Black" w:hAnsi="Segoe UI Black"/>
                              <w:color w:val="C77D4C"/>
                              <w:sz w:val="28"/>
                              <w:szCs w:val="28"/>
                            </w:rPr>
                            <w:b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 xml:space="preserve">PRESS </w:t>
                    </w:r>
                    <w:r w:rsidR="00214023">
                      <w:rPr>
                        <w:rFonts w:ascii="Segoe UI Black" w:hAnsi="Segoe UI Black"/>
                        <w:color w:val="C77D4C"/>
                        <w:sz w:val="28"/>
                        <w:szCs w:val="28"/>
                      </w:rPr>
                      <w:t>RELEASE</w:t>
                    </w:r>
                    <w:r>
                      <w:rPr>
                        <w:rFonts w:ascii="Segoe UI Black" w:hAnsi="Segoe UI Black"/>
                        <w:color w:val="C77D4C"/>
                        <w:sz w:val="28"/>
                        <w:szCs w:val="28"/>
                      </w:rPr>
                      <w:br/>
                      <w:t xml:space="preserve">   </w:t>
                    </w:r>
                  </w:p>
                </w:txbxContent>
              </v:textbox>
              <w10:wrap anchorx="margin"/>
            </v:shape>
          </w:pict>
        </mc:Fallback>
      </mc:AlternateContent>
    </w:r>
    <w:r w:rsidR="00214023">
      <w:rPr>
        <w:noProof/>
        <w:color w:val="595959" w:themeColor="text1" w:themeTint="A6"/>
        <w:lang w:eastAsia="pl-PL"/>
      </w:rPr>
      <mc:AlternateContent>
        <mc:Choice Requires="wps">
          <w:drawing>
            <wp:anchor distT="4294967295" distB="4294967295" distL="114300" distR="114300" simplePos="0" relativeHeight="251657728" behindDoc="0" locked="0" layoutInCell="1" allowOverlap="1">
              <wp:simplePos x="0" y="0"/>
              <wp:positionH relativeFrom="margin">
                <wp:align>left</wp:align>
              </wp:positionH>
              <wp:positionV relativeFrom="paragraph">
                <wp:posOffset>-78741</wp:posOffset>
              </wp:positionV>
              <wp:extent cx="352425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4560B" id="Łącznik prosty 9"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" strokecolor="#5a5a5a [2109]" strokeweight=".5pt">
              <v:stroke joinstyle="miter"/>
              <o:lock v:ext="edit" shapetype="f"/>
              <w10:wrap anchorx="margin"/>
            </v:line>
          </w:pict>
        </mc:Fallback>
      </mc:AlternateContent>
    </w:r>
    <w:r>
      <w:rPr>
        <w:rFonts w:ascii="Segoe UI Semibold" w:hAnsi="Segoe UI Semibold"/>
        <w:color w:val="595959" w:themeColor="text1" w:themeTint="A6"/>
        <w:sz w:val="16"/>
        <w:szCs w:val="16"/>
      </w:rPr>
      <w:t>WWW.UOKiK.GOV.PL   PHONE 22 55 60 246    MOBILE 695 902 088</w:t>
    </w:r>
  </w:p>
  <w:p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rPr>
      <w:t xml:space="preserve">Press Office of UOKiK, Pl. Powstańców Warszawy 1, 00-950 Warsaw </w:t>
    </w:r>
    <w:r>
      <w:rPr>
        <w:rFonts w:ascii="Segoe UI Semibold" w:hAnsi="Segoe UI Semibold" w:cs="Segoe UI Semibold"/>
        <w:color w:val="595959" w:themeColor="text1" w:themeTint="A6"/>
        <w:sz w:val="16"/>
        <w:szCs w:val="16"/>
      </w:rPr>
      <w:br/>
      <w:t xml:space="preserve">E-mail: </w:t>
    </w:r>
    <w:hyperlink r:id="rId2" w:history="1">
      <w:r>
        <w:rPr>
          <w:rStyle w:val="Hipercze"/>
          <w:rFonts w:ascii="Segoe UI Semibold" w:hAnsi="Segoe UI Semibold" w:cs="Segoe UI Semibold"/>
          <w:color w:val="595959" w:themeColor="text1" w:themeTint="A6"/>
          <w:sz w:val="16"/>
          <w:szCs w:val="16"/>
        </w:rPr>
        <w:t>biuroprasowe@uokik.gov.pl</w:t>
      </w:r>
    </w:hyperlink>
    <w:r>
      <w:rPr>
        <w:rFonts w:ascii="Segoe UI Semibold" w:hAnsi="Segoe UI Semibold" w:cs="Segoe UI Semibold"/>
        <w:color w:val="595959" w:themeColor="text1" w:themeTint="A6"/>
        <w:sz w:val="16"/>
        <w:szCs w:val="16"/>
      </w:rPr>
      <w:t xml:space="preserve"> Twitter: </w:t>
    </w:r>
    <w:hyperlink r:id="rId3" w:history="1">
      <w:r>
        <w:rPr>
          <w:rStyle w:val="Hipercze"/>
          <w:rFonts w:ascii="Segoe UI Semibold" w:hAnsi="Segoe UI Semibold" w:cs="Segoe UI Semibold"/>
          <w:color w:val="595959" w:themeColor="text1" w:themeTint="A6"/>
          <w:sz w:val="16"/>
          <w:szCs w:val="16"/>
        </w:rPr>
        <w:t>@</w:t>
      </w:r>
      <w:r>
        <w:rPr>
          <w:rStyle w:val="u-linkcomplex-target"/>
          <w:rFonts w:ascii="Segoe UI Semibold" w:hAnsi="Segoe UI Semibold" w:cs="Segoe UI Semibold"/>
          <w:color w:val="595959" w:themeColor="text1" w:themeTint="A6"/>
          <w:sz w:val="16"/>
          <w:szCs w:val="16"/>
          <w:u w:val="single"/>
        </w:rPr>
        <w:t>UOKiKgovPL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23" w:rsidRDefault="002140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D1" w:rsidRDefault="007104D1">
      <w:r>
        <w:separator/>
      </w:r>
    </w:p>
  </w:footnote>
  <w:footnote w:type="continuationSeparator" w:id="0">
    <w:p w:rsidR="007104D1" w:rsidRDefault="00710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23" w:rsidRDefault="002140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C21071" w:rsidP="0041396E">
    <w:pPr>
      <w:pStyle w:val="Nagwek"/>
      <w:tabs>
        <w:tab w:val="clear" w:pos="9072"/>
      </w:tabs>
    </w:pPr>
    <w:r>
      <w:rPr>
        <w:noProof/>
        <w:lang w:eastAsia="pl-PL"/>
      </w:rPr>
      <w:drawing>
        <wp:anchor distT="0" distB="0" distL="114300" distR="114300" simplePos="0" relativeHeight="251656192" behindDoc="0" locked="0" layoutInCell="1" allowOverlap="1">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214023" w:rsidP="0041396E">
    <w:pPr>
      <w:pStyle w:val="Nagwek"/>
      <w:tabs>
        <w:tab w:val="clear" w:pos="9072"/>
      </w:tabs>
    </w:pPr>
  </w:p>
  <w:p w:rsidR="0059016B" w:rsidRDefault="00214023" w:rsidP="0041396E">
    <w:pPr>
      <w:pStyle w:val="Nagwek"/>
      <w:tabs>
        <w:tab w:val="clear" w:pos="9072"/>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23" w:rsidRDefault="002140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4AB2"/>
    <w:rsid w:val="0000713A"/>
    <w:rsid w:val="00007E00"/>
    <w:rsid w:val="00011AF2"/>
    <w:rsid w:val="00023634"/>
    <w:rsid w:val="00042F96"/>
    <w:rsid w:val="000651E9"/>
    <w:rsid w:val="00073AA7"/>
    <w:rsid w:val="000A74FA"/>
    <w:rsid w:val="000B149D"/>
    <w:rsid w:val="000B1AC5"/>
    <w:rsid w:val="000B7247"/>
    <w:rsid w:val="000E6F07"/>
    <w:rsid w:val="0010559C"/>
    <w:rsid w:val="00107844"/>
    <w:rsid w:val="001129AD"/>
    <w:rsid w:val="00113708"/>
    <w:rsid w:val="00120FBD"/>
    <w:rsid w:val="0012424D"/>
    <w:rsid w:val="0013159A"/>
    <w:rsid w:val="00131D51"/>
    <w:rsid w:val="00135455"/>
    <w:rsid w:val="00143310"/>
    <w:rsid w:val="00143E5A"/>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4023"/>
    <w:rsid w:val="002157BB"/>
    <w:rsid w:val="002262B5"/>
    <w:rsid w:val="0023138D"/>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3F3C31"/>
    <w:rsid w:val="0040748E"/>
    <w:rsid w:val="00412206"/>
    <w:rsid w:val="00427E08"/>
    <w:rsid w:val="004349BA"/>
    <w:rsid w:val="0043575C"/>
    <w:rsid w:val="004365C7"/>
    <w:rsid w:val="004425B7"/>
    <w:rsid w:val="00444A85"/>
    <w:rsid w:val="00462CFA"/>
    <w:rsid w:val="0047315F"/>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83276"/>
    <w:rsid w:val="00593935"/>
    <w:rsid w:val="005973FD"/>
    <w:rsid w:val="00597C68"/>
    <w:rsid w:val="005A382B"/>
    <w:rsid w:val="005A4047"/>
    <w:rsid w:val="005C0D39"/>
    <w:rsid w:val="005C6232"/>
    <w:rsid w:val="005D6F7A"/>
    <w:rsid w:val="005D71EB"/>
    <w:rsid w:val="005E78EE"/>
    <w:rsid w:val="005F139F"/>
    <w:rsid w:val="005F1EBD"/>
    <w:rsid w:val="006063D0"/>
    <w:rsid w:val="00613C45"/>
    <w:rsid w:val="0062000D"/>
    <w:rsid w:val="00633D4E"/>
    <w:rsid w:val="0063526F"/>
    <w:rsid w:val="00637E86"/>
    <w:rsid w:val="006422DE"/>
    <w:rsid w:val="006439FA"/>
    <w:rsid w:val="0064706E"/>
    <w:rsid w:val="0067485D"/>
    <w:rsid w:val="006A2065"/>
    <w:rsid w:val="006A3D88"/>
    <w:rsid w:val="006A4A7A"/>
    <w:rsid w:val="006B0848"/>
    <w:rsid w:val="006B628A"/>
    <w:rsid w:val="006B733D"/>
    <w:rsid w:val="006C34AE"/>
    <w:rsid w:val="006C67AF"/>
    <w:rsid w:val="006D3DC5"/>
    <w:rsid w:val="006F143B"/>
    <w:rsid w:val="007039EC"/>
    <w:rsid w:val="007104D1"/>
    <w:rsid w:val="0071572D"/>
    <w:rsid w:val="007157BA"/>
    <w:rsid w:val="007169F9"/>
    <w:rsid w:val="007174A6"/>
    <w:rsid w:val="007224B3"/>
    <w:rsid w:val="00731303"/>
    <w:rsid w:val="007402E0"/>
    <w:rsid w:val="00743F72"/>
    <w:rsid w:val="0074489D"/>
    <w:rsid w:val="007514AD"/>
    <w:rsid w:val="0075524D"/>
    <w:rsid w:val="007560B0"/>
    <w:rsid w:val="007627D7"/>
    <w:rsid w:val="007656AC"/>
    <w:rsid w:val="00776C4F"/>
    <w:rsid w:val="007838E4"/>
    <w:rsid w:val="007846DC"/>
    <w:rsid w:val="007A0A5C"/>
    <w:rsid w:val="007A19D8"/>
    <w:rsid w:val="007A1DA1"/>
    <w:rsid w:val="007B309F"/>
    <w:rsid w:val="007E36E4"/>
    <w:rsid w:val="007F0ACE"/>
    <w:rsid w:val="007F7BEF"/>
    <w:rsid w:val="00804024"/>
    <w:rsid w:val="0081753E"/>
    <w:rsid w:val="0085010E"/>
    <w:rsid w:val="0085454F"/>
    <w:rsid w:val="008713FC"/>
    <w:rsid w:val="0087354F"/>
    <w:rsid w:val="0089603B"/>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35C9"/>
    <w:rsid w:val="00997528"/>
    <w:rsid w:val="0099796A"/>
    <w:rsid w:val="009C1346"/>
    <w:rsid w:val="009D05C8"/>
    <w:rsid w:val="009E3C0B"/>
    <w:rsid w:val="00A13244"/>
    <w:rsid w:val="00A239AA"/>
    <w:rsid w:val="00A25C11"/>
    <w:rsid w:val="00A439E8"/>
    <w:rsid w:val="00A45753"/>
    <w:rsid w:val="00A53423"/>
    <w:rsid w:val="00A62659"/>
    <w:rsid w:val="00A65F20"/>
    <w:rsid w:val="00A76293"/>
    <w:rsid w:val="00A77DA2"/>
    <w:rsid w:val="00A85D9D"/>
    <w:rsid w:val="00A92C4C"/>
    <w:rsid w:val="00AA602D"/>
    <w:rsid w:val="00AB572D"/>
    <w:rsid w:val="00AE2923"/>
    <w:rsid w:val="00AE7F9D"/>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D3C16"/>
    <w:rsid w:val="00CE0954"/>
    <w:rsid w:val="00CF11F7"/>
    <w:rsid w:val="00D1323F"/>
    <w:rsid w:val="00D202BA"/>
    <w:rsid w:val="00D251AC"/>
    <w:rsid w:val="00D43766"/>
    <w:rsid w:val="00D47CCF"/>
    <w:rsid w:val="00D56103"/>
    <w:rsid w:val="00D6457B"/>
    <w:rsid w:val="00D66DEC"/>
    <w:rsid w:val="00D71A41"/>
    <w:rsid w:val="00D768A4"/>
    <w:rsid w:val="00D91E49"/>
    <w:rsid w:val="00D92F52"/>
    <w:rsid w:val="00D9324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A20EC"/>
    <w:rsid w:val="00EE4AD8"/>
    <w:rsid w:val="00F139AC"/>
    <w:rsid w:val="00F21EAC"/>
    <w:rsid w:val="00F3243D"/>
    <w:rsid w:val="00F46D0D"/>
    <w:rsid w:val="00F92B59"/>
    <w:rsid w:val="00F948BC"/>
    <w:rsid w:val="00F94B66"/>
    <w:rsid w:val="00F960CF"/>
    <w:rsid w:val="00FA10A3"/>
    <w:rsid w:val="00FA1226"/>
    <w:rsid w:val="00FD09D8"/>
    <w:rsid w:val="00FE665B"/>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E7E6E5D8-B194-40B0-8E1E-7366F13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214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koncentracje.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wo.sejm.gov.pl/isap.nsf/DocDetails.xsp?id=WDU2007050033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OKiK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lgorzata.cieloch@uokik.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okik.gov.pl/download.php?id=126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2267</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2</cp:revision>
  <cp:lastPrinted>2019-05-22T13:22:00Z</cp:lastPrinted>
  <dcterms:created xsi:type="dcterms:W3CDTF">2019-05-31T13:42:00Z</dcterms:created>
  <dcterms:modified xsi:type="dcterms:W3CDTF">2019-05-31T13:42:00Z</dcterms:modified>
</cp:coreProperties>
</file>