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31" w:rsidRPr="00135455" w:rsidRDefault="003F3C31" w:rsidP="003F3C31">
      <w:pPr>
        <w:spacing w:line="360" w:lineRule="auto"/>
        <w:jc w:val="both"/>
        <w:rPr>
          <w:sz w:val="32"/>
          <w:szCs w:val="32"/>
        </w:rPr>
      </w:pPr>
      <w:r>
        <w:rPr>
          <w:sz w:val="32"/>
          <w:szCs w:val="32"/>
        </w:rPr>
        <w:t xml:space="preserve">Phase II of proceedings: </w:t>
      </w:r>
      <w:proofErr w:type="spellStart"/>
      <w:r>
        <w:rPr>
          <w:sz w:val="32"/>
          <w:szCs w:val="32"/>
        </w:rPr>
        <w:t>ePayments</w:t>
      </w:r>
      <w:proofErr w:type="spellEnd"/>
      <w:r>
        <w:rPr>
          <w:sz w:val="32"/>
          <w:szCs w:val="32"/>
        </w:rPr>
        <w:t xml:space="preserve"> - </w:t>
      </w:r>
      <w:proofErr w:type="spellStart"/>
      <w:r>
        <w:rPr>
          <w:sz w:val="32"/>
          <w:szCs w:val="32"/>
        </w:rPr>
        <w:t>Billbird</w:t>
      </w:r>
      <w:proofErr w:type="spellEnd"/>
    </w:p>
    <w:p w:rsidR="003F3C31" w:rsidRPr="0038677D" w:rsidRDefault="003F3C31" w:rsidP="00E428A2">
      <w:pPr>
        <w:pStyle w:val="Akapitzlist"/>
        <w:numPr>
          <w:ilvl w:val="0"/>
          <w:numId w:val="6"/>
        </w:numPr>
        <w:shd w:val="clear" w:color="auto" w:fill="FFFFFF"/>
        <w:spacing w:before="100" w:beforeAutospacing="1" w:after="240" w:line="360" w:lineRule="auto"/>
        <w:jc w:val="both"/>
        <w:rPr>
          <w:rFonts w:cs="Tahoma"/>
          <w:b/>
          <w:bCs/>
          <w:color w:val="000000" w:themeColor="text1"/>
          <w:sz w:val="22"/>
        </w:rPr>
      </w:pPr>
      <w:r>
        <w:rPr>
          <w:b/>
          <w:bCs/>
          <w:color w:val="000000" w:themeColor="text1"/>
          <w:sz w:val="22"/>
        </w:rPr>
        <w:t>The Office of Competition and Consumer Protection (</w:t>
      </w:r>
      <w:proofErr w:type="spellStart"/>
      <w:r>
        <w:rPr>
          <w:b/>
          <w:bCs/>
          <w:color w:val="000000" w:themeColor="text1"/>
          <w:sz w:val="22"/>
        </w:rPr>
        <w:t>UOKiK</w:t>
      </w:r>
      <w:proofErr w:type="spellEnd"/>
      <w:r>
        <w:rPr>
          <w:b/>
          <w:bCs/>
          <w:color w:val="000000" w:themeColor="text1"/>
          <w:sz w:val="22"/>
        </w:rPr>
        <w:t xml:space="preserve">) has commenced the second stage of  proceedings concerning the takeover of </w:t>
      </w:r>
      <w:proofErr w:type="spellStart"/>
      <w:r>
        <w:rPr>
          <w:b/>
          <w:bCs/>
          <w:color w:val="000000" w:themeColor="text1"/>
          <w:sz w:val="22"/>
        </w:rPr>
        <w:t>BillBird</w:t>
      </w:r>
      <w:proofErr w:type="spellEnd"/>
      <w:r>
        <w:rPr>
          <w:b/>
          <w:bCs/>
          <w:color w:val="000000" w:themeColor="text1"/>
          <w:sz w:val="22"/>
        </w:rPr>
        <w:t xml:space="preserve"> by Centrum </w:t>
      </w:r>
      <w:proofErr w:type="spellStart"/>
      <w:r>
        <w:rPr>
          <w:b/>
          <w:bCs/>
          <w:color w:val="000000" w:themeColor="text1"/>
          <w:sz w:val="22"/>
        </w:rPr>
        <w:t>Rozliczeń</w:t>
      </w:r>
      <w:proofErr w:type="spellEnd"/>
      <w:r>
        <w:rPr>
          <w:b/>
          <w:bCs/>
          <w:color w:val="000000" w:themeColor="text1"/>
          <w:sz w:val="22"/>
        </w:rPr>
        <w:t xml:space="preserve"> </w:t>
      </w:r>
      <w:proofErr w:type="spellStart"/>
      <w:r>
        <w:rPr>
          <w:b/>
          <w:bCs/>
          <w:color w:val="000000" w:themeColor="text1"/>
          <w:sz w:val="22"/>
        </w:rPr>
        <w:t>Elektronicznych</w:t>
      </w:r>
      <w:proofErr w:type="spellEnd"/>
      <w:r>
        <w:rPr>
          <w:b/>
          <w:bCs/>
          <w:color w:val="000000" w:themeColor="text1"/>
          <w:sz w:val="22"/>
        </w:rPr>
        <w:t xml:space="preserve"> </w:t>
      </w:r>
      <w:proofErr w:type="spellStart"/>
      <w:r>
        <w:rPr>
          <w:b/>
          <w:bCs/>
          <w:color w:val="000000" w:themeColor="text1"/>
          <w:sz w:val="22"/>
        </w:rPr>
        <w:t>Polskie</w:t>
      </w:r>
      <w:proofErr w:type="spellEnd"/>
      <w:r>
        <w:rPr>
          <w:b/>
          <w:bCs/>
          <w:color w:val="000000" w:themeColor="text1"/>
          <w:sz w:val="22"/>
        </w:rPr>
        <w:t xml:space="preserve"> </w:t>
      </w:r>
      <w:proofErr w:type="spellStart"/>
      <w:r>
        <w:rPr>
          <w:b/>
          <w:bCs/>
          <w:color w:val="000000" w:themeColor="text1"/>
          <w:sz w:val="22"/>
        </w:rPr>
        <w:t>ePłatności</w:t>
      </w:r>
      <w:proofErr w:type="spellEnd"/>
      <w:r>
        <w:rPr>
          <w:b/>
          <w:bCs/>
          <w:color w:val="000000" w:themeColor="text1"/>
          <w:sz w:val="22"/>
        </w:rPr>
        <w:t>.</w:t>
      </w:r>
    </w:p>
    <w:p w:rsidR="003F3C31" w:rsidRPr="0038677D" w:rsidRDefault="003F3C31" w:rsidP="003F3C31">
      <w:pPr>
        <w:pStyle w:val="Akapitzlist"/>
        <w:numPr>
          <w:ilvl w:val="0"/>
          <w:numId w:val="6"/>
        </w:numPr>
        <w:shd w:val="clear" w:color="auto" w:fill="FFFFFF"/>
        <w:spacing w:before="100" w:beforeAutospacing="1" w:after="240" w:line="360" w:lineRule="auto"/>
        <w:jc w:val="both"/>
        <w:rPr>
          <w:rFonts w:cs="Tahoma"/>
          <w:b/>
          <w:color w:val="000000" w:themeColor="text1"/>
          <w:sz w:val="22"/>
        </w:rPr>
      </w:pPr>
      <w:r>
        <w:rPr>
          <w:b/>
          <w:bCs/>
          <w:color w:val="000000" w:themeColor="text1"/>
          <w:sz w:val="22"/>
        </w:rPr>
        <w:t>There is a risk of restriction of competition in this case.</w:t>
      </w:r>
    </w:p>
    <w:p w:rsidR="005734F2" w:rsidRDefault="00A660CA" w:rsidP="003F3C31">
      <w:pPr>
        <w:spacing w:after="240" w:line="360" w:lineRule="auto"/>
        <w:jc w:val="both"/>
        <w:rPr>
          <w:sz w:val="22"/>
        </w:rPr>
      </w:pPr>
      <w:r>
        <w:rPr>
          <w:b/>
          <w:sz w:val="22"/>
        </w:rPr>
        <w:t>[Warsaw, June 7th</w:t>
      </w:r>
      <w:bookmarkStart w:id="0" w:name="_GoBack"/>
      <w:bookmarkEnd w:id="0"/>
      <w:r w:rsidR="00237C01">
        <w:rPr>
          <w:b/>
          <w:sz w:val="22"/>
        </w:rPr>
        <w:t xml:space="preserve">, 2019] </w:t>
      </w:r>
      <w:r w:rsidR="00237C01">
        <w:rPr>
          <w:sz w:val="22"/>
        </w:rPr>
        <w:t>The transaction was reported to the Office of Competition and Consumer Protection at the beginning of February 2019. Its parties offer mobile phone top-ups (so-called pre-paid service), pre-paid energy meter top-ups and support various types of payment transactions.</w:t>
      </w:r>
    </w:p>
    <w:p w:rsidR="00F568E0" w:rsidRDefault="00F568E0" w:rsidP="003F3C31">
      <w:pPr>
        <w:spacing w:after="240" w:line="360" w:lineRule="auto"/>
        <w:jc w:val="both"/>
        <w:rPr>
          <w:sz w:val="22"/>
        </w:rPr>
      </w:pPr>
      <w:r>
        <w:rPr>
          <w:sz w:val="22"/>
        </w:rPr>
        <w:t>An analysis of the request revealed that the combined market share of the parties to the merger in one of the markets exceed the 40% threshold. This may lead to creating a dominant position and a significant restriction of competition, and therefore a market investigation is necessary in this case.</w:t>
      </w:r>
    </w:p>
    <w:p w:rsidR="003F3C31" w:rsidRPr="0010559C" w:rsidRDefault="003F3C31" w:rsidP="003F3C31">
      <w:pPr>
        <w:spacing w:after="240" w:line="360" w:lineRule="auto"/>
        <w:jc w:val="both"/>
        <w:rPr>
          <w:sz w:val="22"/>
        </w:rPr>
      </w:pPr>
      <w:r>
        <w:rPr>
          <w:sz w:val="22"/>
        </w:rPr>
        <w:t>The initiation of the second stage of the proceedings does not prejudge the type of decision to be made in the future. The President of the Office of Competition and Consumer Protection may grant consent (unconditional or conditional) to the merger or prohibit it.</w:t>
      </w:r>
    </w:p>
    <w:p w:rsidR="003F3C31" w:rsidRPr="00D47CCF" w:rsidRDefault="003F3C31" w:rsidP="003F3C31">
      <w:pPr>
        <w:spacing w:after="240" w:line="360" w:lineRule="auto"/>
        <w:jc w:val="both"/>
        <w:outlineLvl w:val="2"/>
        <w:rPr>
          <w:rFonts w:cs="Tahoma"/>
          <w:b/>
          <w:bCs/>
          <w:sz w:val="22"/>
        </w:rPr>
      </w:pPr>
      <w:r>
        <w:rPr>
          <w:b/>
          <w:bCs/>
          <w:sz w:val="22"/>
        </w:rPr>
        <w:t xml:space="preserve">Additional information </w:t>
      </w:r>
    </w:p>
    <w:p w:rsidR="003F3C31" w:rsidRDefault="003F3C31" w:rsidP="003F3C31">
      <w:pPr>
        <w:spacing w:after="100" w:afterAutospacing="1" w:line="372" w:lineRule="auto"/>
        <w:jc w:val="both"/>
        <w:rPr>
          <w:rFonts w:cs="Tahoma"/>
          <w:sz w:val="22"/>
        </w:rPr>
      </w:pPr>
      <w:r>
        <w:rPr>
          <w:sz w:val="22"/>
        </w:rPr>
        <w:t xml:space="preserve">In accordance with </w:t>
      </w:r>
      <w:hyperlink r:id="rId7" w:history="1">
        <w:r>
          <w:rPr>
            <w:rStyle w:val="Hipercze"/>
            <w:sz w:val="22"/>
          </w:rPr>
          <w:t>the Act on Competition and Consumer Protection</w:t>
        </w:r>
      </w:hyperlink>
      <w:r>
        <w:rPr>
          <w:sz w:val="22"/>
        </w:rPr>
        <w:t xml:space="preserve"> the proceedings in merger cases are conducted in two stages. The first stage lasts up to a month. However, in particularly complex cases where competition is likely to be significantly restricted or where a market investigation is required, proceedings may take longer. </w:t>
      </w:r>
    </w:p>
    <w:p w:rsidR="003F3C31" w:rsidRPr="00A13244" w:rsidRDefault="009F330A" w:rsidP="003F3C31">
      <w:pPr>
        <w:spacing w:after="100" w:afterAutospacing="1" w:line="372" w:lineRule="auto"/>
        <w:jc w:val="both"/>
        <w:rPr>
          <w:rFonts w:cs="Tahoma"/>
          <w:sz w:val="22"/>
        </w:rPr>
      </w:pPr>
      <w:hyperlink r:id="rId8" w:history="1">
        <w:r w:rsidR="00967D07">
          <w:rPr>
            <w:rStyle w:val="Hipercze"/>
            <w:sz w:val="22"/>
          </w:rPr>
          <w:t>The website of the Office for Competition and Consumer Protection (</w:t>
        </w:r>
        <w:proofErr w:type="spellStart"/>
        <w:r w:rsidR="00967D07">
          <w:rPr>
            <w:rStyle w:val="Hipercze"/>
            <w:sz w:val="22"/>
          </w:rPr>
          <w:t>UOKiK</w:t>
        </w:r>
        <w:proofErr w:type="spellEnd"/>
        <w:r w:rsidR="00967D07">
          <w:rPr>
            <w:rStyle w:val="Hipercze"/>
            <w:sz w:val="22"/>
          </w:rPr>
          <w:t>) </w:t>
        </w:r>
      </w:hyperlink>
      <w:r w:rsidR="00967D07">
        <w:rPr>
          <w:sz w:val="22"/>
        </w:rPr>
        <w:t xml:space="preserve"> provides information on all antitrust proceedings conducted by the authority in merger cases. More information on merger regulations is available in </w:t>
      </w:r>
      <w:hyperlink r:id="rId9" w:history="1">
        <w:r w:rsidR="00967D07">
          <w:rPr>
            <w:rStyle w:val="Hipercze"/>
            <w:sz w:val="22"/>
          </w:rPr>
          <w:t>a special compilation.</w:t>
        </w:r>
      </w:hyperlink>
      <w:r w:rsidR="00967D07">
        <w:rPr>
          <w:sz w:val="22"/>
        </w:rPr>
        <w:t xml:space="preserve"> </w:t>
      </w:r>
    </w:p>
    <w:p w:rsidR="006B628A" w:rsidRDefault="006B628A" w:rsidP="003F3C31">
      <w:pPr>
        <w:spacing w:before="240" w:after="240" w:line="360" w:lineRule="auto"/>
        <w:jc w:val="both"/>
        <w:rPr>
          <w:rStyle w:val="Pogrubienie"/>
          <w:rFonts w:cs="Tahoma"/>
          <w:color w:val="000000"/>
          <w:szCs w:val="18"/>
        </w:rPr>
      </w:pPr>
    </w:p>
    <w:p w:rsidR="003F3C31" w:rsidRPr="00B6769E" w:rsidRDefault="003F3C31" w:rsidP="003F3C31">
      <w:pPr>
        <w:spacing w:before="240" w:after="240" w:line="360" w:lineRule="auto"/>
        <w:jc w:val="both"/>
        <w:rPr>
          <w:rFonts w:cs="Tahoma"/>
          <w:sz w:val="22"/>
        </w:rPr>
      </w:pPr>
      <w:r>
        <w:rPr>
          <w:rStyle w:val="Pogrubienie"/>
          <w:color w:val="000000"/>
          <w:szCs w:val="18"/>
        </w:rPr>
        <w:t>Additional information for the media:</w:t>
      </w:r>
      <w:r>
        <w:rPr>
          <w:color w:val="000000"/>
          <w:szCs w:val="18"/>
        </w:rPr>
        <w:t xml:space="preserve"> </w:t>
      </w:r>
    </w:p>
    <w:p w:rsidR="003F3C31" w:rsidRPr="004425B7" w:rsidRDefault="003F3C31" w:rsidP="003F3C31">
      <w:pPr>
        <w:pStyle w:val="TEKSTKOMUNIKATU"/>
        <w:jc w:val="left"/>
        <w:rPr>
          <w:rFonts w:ascii="Trebuchet MS" w:hAnsi="Trebuchet MS" w:cs="Tahoma"/>
          <w:color w:val="000000"/>
          <w:sz w:val="18"/>
          <w:szCs w:val="18"/>
        </w:rPr>
      </w:pPr>
      <w:r>
        <w:rPr>
          <w:rFonts w:ascii="Trebuchet MS" w:hAnsi="Trebuchet MS"/>
          <w:color w:val="000000"/>
          <w:sz w:val="18"/>
          <w:szCs w:val="18"/>
        </w:rPr>
        <w:lastRenderedPageBreak/>
        <w:t xml:space="preserve">Press Office </w:t>
      </w:r>
      <w:proofErr w:type="spellStart"/>
      <w:r>
        <w:rPr>
          <w:rFonts w:ascii="Trebuchet MS" w:hAnsi="Trebuchet MS"/>
          <w:color w:val="000000"/>
          <w:sz w:val="18"/>
          <w:szCs w:val="18"/>
        </w:rPr>
        <w:t>UOKiK</w:t>
      </w:r>
      <w:proofErr w:type="spellEnd"/>
      <w:r>
        <w:rPr>
          <w:rFonts w:ascii="Trebuchet MS" w:hAnsi="Trebuchet MS"/>
          <w:color w:val="000000"/>
          <w:sz w:val="18"/>
          <w:szCs w:val="18"/>
        </w:rPr>
        <w:t xml:space="preserve"> </w:t>
      </w:r>
      <w:r>
        <w:rPr>
          <w:rFonts w:ascii="Trebuchet MS" w:hAnsi="Trebuchet MS"/>
          <w:color w:val="000000"/>
          <w:sz w:val="18"/>
          <w:szCs w:val="18"/>
        </w:rPr>
        <w:br/>
        <w:t xml:space="preserve">Pl. </w:t>
      </w:r>
      <w:proofErr w:type="spellStart"/>
      <w:r>
        <w:rPr>
          <w:rFonts w:ascii="Trebuchet MS" w:hAnsi="Trebuchet MS"/>
          <w:color w:val="000000"/>
          <w:sz w:val="18"/>
          <w:szCs w:val="18"/>
        </w:rPr>
        <w:t>Powstańców</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Warszawy</w:t>
      </w:r>
      <w:proofErr w:type="spellEnd"/>
      <w:r>
        <w:rPr>
          <w:rFonts w:ascii="Trebuchet MS" w:hAnsi="Trebuchet MS"/>
          <w:color w:val="000000"/>
          <w:sz w:val="18"/>
          <w:szCs w:val="18"/>
        </w:rPr>
        <w:t xml:space="preserve"> 1, 00-950 Warszawa </w:t>
      </w:r>
      <w:r>
        <w:rPr>
          <w:rFonts w:ascii="Trebuchet MS" w:hAnsi="Trebuchet MS"/>
          <w:color w:val="000000"/>
          <w:sz w:val="18"/>
          <w:szCs w:val="18"/>
        </w:rPr>
        <w:br/>
        <w:t>Tel. 695 902 088, 22 55 60 430</w:t>
      </w:r>
      <w:r>
        <w:rPr>
          <w:rFonts w:ascii="Trebuchet MS" w:hAnsi="Trebuchet MS"/>
          <w:color w:val="000000"/>
          <w:sz w:val="18"/>
          <w:szCs w:val="18"/>
        </w:rPr>
        <w:br/>
        <w:t xml:space="preserve">E-mail: </w:t>
      </w:r>
      <w:hyperlink r:id="rId10" w:tooltip="send an e-mail to: malgorzata.cieloch@uokik.gov.pl" w:history="1">
        <w:r>
          <w:rPr>
            <w:rStyle w:val="Hipercze"/>
            <w:rFonts w:ascii="Trebuchet MS" w:hAnsi="Trebuchet MS"/>
            <w:color w:val="000000"/>
            <w:sz w:val="18"/>
            <w:szCs w:val="18"/>
          </w:rPr>
          <w:t>biuroprasowe@uokik.gov.pl</w:t>
        </w:r>
      </w:hyperlink>
      <w:r>
        <w:rPr>
          <w:rStyle w:val="Hipercze"/>
          <w:rFonts w:ascii="Trebuchet MS" w:hAnsi="Trebuchet MS"/>
          <w:color w:val="000000"/>
          <w:sz w:val="18"/>
          <w:szCs w:val="18"/>
        </w:rPr>
        <w:br/>
      </w:r>
      <w:r>
        <w:rPr>
          <w:rFonts w:ascii="Trebuchet MS" w:hAnsi="Trebuchet MS"/>
          <w:sz w:val="18"/>
          <w:szCs w:val="18"/>
        </w:rPr>
        <w:t xml:space="preserve">Twitter: </w:t>
      </w:r>
      <w:hyperlink r:id="rId11" w:history="1">
        <w:r>
          <w:rPr>
            <w:rStyle w:val="Hipercze"/>
            <w:rFonts w:ascii="Trebuchet MS" w:hAnsi="Trebuchet MS"/>
            <w:sz w:val="18"/>
            <w:szCs w:val="18"/>
          </w:rPr>
          <w:t>@</w:t>
        </w:r>
        <w:proofErr w:type="spellStart"/>
        <w:r>
          <w:rPr>
            <w:rStyle w:val="u-linkcomplex-target"/>
            <w:rFonts w:ascii="Trebuchet MS" w:hAnsi="Trebuchet MS"/>
            <w:color w:val="0000FF"/>
            <w:sz w:val="18"/>
            <w:szCs w:val="18"/>
            <w:u w:val="single"/>
          </w:rPr>
          <w:t>UOKiKgovPL</w:t>
        </w:r>
        <w:proofErr w:type="spellEnd"/>
      </w:hyperlink>
    </w:p>
    <w:p w:rsidR="00B73F22" w:rsidRPr="003F3C31" w:rsidRDefault="00B73F22" w:rsidP="003F3C31"/>
    <w:sectPr w:rsidR="00B73F22" w:rsidRPr="003F3C31" w:rsidSect="008D527A">
      <w:headerReference w:type="default" r:id="rId12"/>
      <w:footerReference w:type="default" r:id="rId13"/>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0A" w:rsidRDefault="009F330A">
      <w:r>
        <w:separator/>
      </w:r>
    </w:p>
  </w:endnote>
  <w:endnote w:type="continuationSeparator" w:id="0">
    <w:p w:rsidR="009F330A" w:rsidRDefault="009F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924ABC" w:rsidRDefault="003F3C31" w:rsidP="008D527A">
    <w:pPr>
      <w:pStyle w:val="Stopka"/>
      <w:rPr>
        <w:rFonts w:ascii="Segoe UI Semibold" w:hAnsi="Segoe UI Semibold" w:cs="Segoe UI Semibold"/>
        <w:color w:val="595959" w:themeColor="text1" w:themeTint="A6"/>
        <w:sz w:val="16"/>
        <w:szCs w:val="16"/>
      </w:rPr>
    </w:pPr>
    <w:r>
      <w:rPr>
        <w:noProof/>
        <w:lang w:val="pl-PL" w:eastAsia="pl-PL"/>
      </w:rPr>
      <w:drawing>
        <wp:anchor distT="0" distB="0" distL="114300" distR="114300" simplePos="0" relativeHeight="251659264" behindDoc="1" locked="0" layoutInCell="1" allowOverlap="1">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Semibold" w:hAnsi="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Pr="006A2065" w:rsidRDefault="004C1243" w:rsidP="004C1243">
                    <w:pPr>
                      <w:spacing w:before="100" w:beforeAutospacing="1"/>
                      <w:ind w:right="-113"/>
                      <w:jc w:val="right"/>
                      <w:rPr>
                        <w:color w:val="C77D4C"/>
                        <w:sz w:val="28"/>
                        <w:szCs w:val="28"/>
                        <w:rFonts w:ascii="Segoe UI Black" w:hAnsi="Segoe UI Black"/>
                      </w:rPr>
                    </w:pPr>
                    <w:r>
                      <w:rPr>
                        <w:color w:val="C77D4C"/>
                        <w:sz w:val="28"/>
                        <w:szCs w:val="28"/>
                        <w:rFonts w:ascii="Segoe UI Black" w:hAnsi="Segoe UI Black"/>
                      </w:rPr>
                      <w:t xml:space="preserve">PRESS RELEASE</w:t>
                    </w:r>
                  </w:p>
                </w:txbxContent>
              </v:textbox>
              <w10:wrap anchorx="margin"/>
            </v:shape>
          </w:pict>
        </mc:Fallback>
      </mc:AlternateContent>
    </w:r>
    <w:r>
      <w:rPr>
        <w:rFonts w:ascii="Segoe UI Semibold" w:hAnsi="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Segoe UI Semibold" w:hAnsi="Segoe UI Semibold"/>
        <w:color w:val="595959" w:themeColor="text1" w:themeTint="A6"/>
        <w:sz w:val="16"/>
        <w:szCs w:val="16"/>
      </w:rPr>
      <w:t>WWW.UOKiK.GOV.PL TEL. 22 55 60 246 MOB. 695 902 088</w:t>
    </w:r>
  </w:p>
  <w:p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olor w:val="595959" w:themeColor="text1" w:themeTint="A6"/>
        <w:sz w:val="16"/>
        <w:szCs w:val="16"/>
      </w:rPr>
      <w:t xml:space="preserve">Press Office </w:t>
    </w:r>
    <w:proofErr w:type="spellStart"/>
    <w:r>
      <w:rPr>
        <w:rFonts w:ascii="Segoe UI Semibold" w:hAnsi="Segoe UI Semibold"/>
        <w:color w:val="595959" w:themeColor="text1" w:themeTint="A6"/>
        <w:sz w:val="16"/>
        <w:szCs w:val="16"/>
      </w:rPr>
      <w:t>UOKiK</w:t>
    </w:r>
    <w:proofErr w:type="spellEnd"/>
    <w:r>
      <w:rPr>
        <w:rFonts w:ascii="Segoe UI Semibold" w:hAnsi="Segoe UI Semibold"/>
        <w:color w:val="595959" w:themeColor="text1" w:themeTint="A6"/>
        <w:sz w:val="16"/>
        <w:szCs w:val="16"/>
      </w:rPr>
      <w:t xml:space="preserve"> Pl. </w:t>
    </w:r>
    <w:proofErr w:type="spellStart"/>
    <w:r>
      <w:rPr>
        <w:rFonts w:ascii="Segoe UI Semibold" w:hAnsi="Segoe UI Semibold"/>
        <w:color w:val="595959" w:themeColor="text1" w:themeTint="A6"/>
        <w:sz w:val="16"/>
        <w:szCs w:val="16"/>
      </w:rPr>
      <w:t>Powstańców</w:t>
    </w:r>
    <w:proofErr w:type="spellEnd"/>
    <w:r>
      <w:rPr>
        <w:rFonts w:ascii="Segoe UI Semibold" w:hAnsi="Segoe UI Semibold"/>
        <w:color w:val="595959" w:themeColor="text1" w:themeTint="A6"/>
        <w:sz w:val="16"/>
        <w:szCs w:val="16"/>
      </w:rPr>
      <w:t xml:space="preserve"> </w:t>
    </w:r>
    <w:proofErr w:type="spellStart"/>
    <w:r>
      <w:rPr>
        <w:rFonts w:ascii="Segoe UI Semibold" w:hAnsi="Segoe UI Semibold"/>
        <w:color w:val="595959" w:themeColor="text1" w:themeTint="A6"/>
        <w:sz w:val="16"/>
        <w:szCs w:val="16"/>
      </w:rPr>
      <w:t>Warszawy</w:t>
    </w:r>
    <w:proofErr w:type="spellEnd"/>
    <w:r>
      <w:rPr>
        <w:rFonts w:ascii="Segoe UI Semibold" w:hAnsi="Segoe UI Semibold"/>
        <w:color w:val="595959" w:themeColor="text1" w:themeTint="A6"/>
        <w:sz w:val="16"/>
        <w:szCs w:val="16"/>
      </w:rPr>
      <w:t xml:space="preserve"> 1, 00-950 Warszawa </w:t>
    </w:r>
    <w:r>
      <w:rPr>
        <w:rFonts w:ascii="Segoe UI Semibold" w:hAnsi="Segoe UI Semibold"/>
        <w:color w:val="595959" w:themeColor="text1" w:themeTint="A6"/>
        <w:sz w:val="16"/>
        <w:szCs w:val="16"/>
      </w:rPr>
      <w:br/>
      <w:t xml:space="preserve">E-mail: </w:t>
    </w:r>
    <w:hyperlink r:id="rId2" w:history="1">
      <w:r>
        <w:rPr>
          <w:rStyle w:val="Hipercze"/>
          <w:rFonts w:ascii="Segoe UI Semibold" w:hAnsi="Segoe UI Semibold"/>
          <w:color w:val="595959" w:themeColor="text1" w:themeTint="A6"/>
          <w:sz w:val="16"/>
          <w:szCs w:val="16"/>
        </w:rPr>
        <w:t>biuroprasowe@uokik.gov.pl</w:t>
      </w:r>
    </w:hyperlink>
    <w:r>
      <w:rPr>
        <w:rFonts w:ascii="Segoe UI Semibold" w:hAnsi="Segoe UI Semibold"/>
        <w:color w:val="595959" w:themeColor="text1" w:themeTint="A6"/>
        <w:sz w:val="16"/>
        <w:szCs w:val="16"/>
      </w:rPr>
      <w:t xml:space="preserve"> Twitter: </w:t>
    </w:r>
    <w:hyperlink r:id="rId3" w:history="1">
      <w:r>
        <w:rPr>
          <w:rStyle w:val="Hipercze"/>
          <w:rFonts w:ascii="Segoe UI Semibold" w:hAnsi="Segoe UI Semibold"/>
          <w:color w:val="595959" w:themeColor="text1" w:themeTint="A6"/>
          <w:sz w:val="16"/>
          <w:szCs w:val="16"/>
        </w:rPr>
        <w:t>@</w:t>
      </w:r>
      <w:proofErr w:type="spellStart"/>
      <w:r>
        <w:rPr>
          <w:rStyle w:val="u-linkcomplex-target"/>
          <w:rFonts w:ascii="Segoe UI Semibold" w:hAnsi="Segoe UI Semibold"/>
          <w:color w:val="595959" w:themeColor="text1" w:themeTint="A6"/>
          <w:sz w:val="16"/>
          <w:szCs w:val="16"/>
          <w:u w:val="single"/>
        </w:rPr>
        <w:t>UOKiKgovPL</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0A" w:rsidRDefault="009F330A">
      <w:r>
        <w:separator/>
      </w:r>
    </w:p>
  </w:footnote>
  <w:footnote w:type="continuationSeparator" w:id="0">
    <w:p w:rsidR="009F330A" w:rsidRDefault="009F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C21071" w:rsidP="0041396E">
    <w:pPr>
      <w:pStyle w:val="Nagwek"/>
      <w:tabs>
        <w:tab w:val="clear" w:pos="9072"/>
      </w:tabs>
    </w:pPr>
    <w:r>
      <w:rPr>
        <w:noProof/>
        <w:lang w:val="pl-PL" w:eastAsia="pl-PL"/>
      </w:rPr>
      <w:drawing>
        <wp:anchor distT="0" distB="0" distL="114300" distR="114300" simplePos="0" relativeHeight="251656192" behindDoc="0" locked="0" layoutInCell="1" allowOverlap="1" wp14:anchorId="6BDE69C9" wp14:editId="4E8D432C">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9016B" w:rsidRDefault="009F330A" w:rsidP="0041396E">
    <w:pPr>
      <w:pStyle w:val="Nagwek"/>
      <w:tabs>
        <w:tab w:val="clear" w:pos="9072"/>
      </w:tabs>
    </w:pPr>
  </w:p>
  <w:p w:rsidR="0059016B" w:rsidRDefault="009F330A"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4AB2"/>
    <w:rsid w:val="0000713A"/>
    <w:rsid w:val="00007E00"/>
    <w:rsid w:val="00011AF2"/>
    <w:rsid w:val="00013341"/>
    <w:rsid w:val="00023634"/>
    <w:rsid w:val="00042F96"/>
    <w:rsid w:val="000651E9"/>
    <w:rsid w:val="00073AA7"/>
    <w:rsid w:val="000A74FA"/>
    <w:rsid w:val="000B149D"/>
    <w:rsid w:val="000B1AC5"/>
    <w:rsid w:val="000B7247"/>
    <w:rsid w:val="000E6F07"/>
    <w:rsid w:val="0010559C"/>
    <w:rsid w:val="001060F9"/>
    <w:rsid w:val="00107844"/>
    <w:rsid w:val="001129AD"/>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C301B"/>
    <w:rsid w:val="001E188E"/>
    <w:rsid w:val="001E4F92"/>
    <w:rsid w:val="001F4A73"/>
    <w:rsid w:val="00205580"/>
    <w:rsid w:val="002157BB"/>
    <w:rsid w:val="002262B5"/>
    <w:rsid w:val="0023138D"/>
    <w:rsid w:val="00237C01"/>
    <w:rsid w:val="0024118E"/>
    <w:rsid w:val="00241BAC"/>
    <w:rsid w:val="00260382"/>
    <w:rsid w:val="00265B0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31F52"/>
    <w:rsid w:val="0034059B"/>
    <w:rsid w:val="0035019C"/>
    <w:rsid w:val="00360248"/>
    <w:rsid w:val="00366A46"/>
    <w:rsid w:val="00377A0D"/>
    <w:rsid w:val="0038677D"/>
    <w:rsid w:val="003D3FF4"/>
    <w:rsid w:val="003D7161"/>
    <w:rsid w:val="003E3F9D"/>
    <w:rsid w:val="003E69E5"/>
    <w:rsid w:val="003F3C31"/>
    <w:rsid w:val="0040748E"/>
    <w:rsid w:val="00412206"/>
    <w:rsid w:val="00427E08"/>
    <w:rsid w:val="004349BA"/>
    <w:rsid w:val="0043575C"/>
    <w:rsid w:val="004365C7"/>
    <w:rsid w:val="00437C94"/>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734F2"/>
    <w:rsid w:val="00583276"/>
    <w:rsid w:val="00593935"/>
    <w:rsid w:val="005973FD"/>
    <w:rsid w:val="00597C68"/>
    <w:rsid w:val="005A382B"/>
    <w:rsid w:val="005A4047"/>
    <w:rsid w:val="005C0D39"/>
    <w:rsid w:val="005C6232"/>
    <w:rsid w:val="005D6F7A"/>
    <w:rsid w:val="005E78EE"/>
    <w:rsid w:val="005F139F"/>
    <w:rsid w:val="005F1EBD"/>
    <w:rsid w:val="006063D0"/>
    <w:rsid w:val="0061135A"/>
    <w:rsid w:val="00613C45"/>
    <w:rsid w:val="00633D4E"/>
    <w:rsid w:val="0063526F"/>
    <w:rsid w:val="00637E86"/>
    <w:rsid w:val="006422DE"/>
    <w:rsid w:val="006439FA"/>
    <w:rsid w:val="0067485D"/>
    <w:rsid w:val="006A2065"/>
    <w:rsid w:val="006A3D88"/>
    <w:rsid w:val="006A4A7A"/>
    <w:rsid w:val="006B0848"/>
    <w:rsid w:val="006B628A"/>
    <w:rsid w:val="006B733D"/>
    <w:rsid w:val="006C34AE"/>
    <w:rsid w:val="006C67AF"/>
    <w:rsid w:val="006D3DC5"/>
    <w:rsid w:val="006F143B"/>
    <w:rsid w:val="007039EC"/>
    <w:rsid w:val="0071572D"/>
    <w:rsid w:val="007157BA"/>
    <w:rsid w:val="007169F9"/>
    <w:rsid w:val="007174A6"/>
    <w:rsid w:val="007224B3"/>
    <w:rsid w:val="00731303"/>
    <w:rsid w:val="007402E0"/>
    <w:rsid w:val="0074489D"/>
    <w:rsid w:val="007514AD"/>
    <w:rsid w:val="0075524D"/>
    <w:rsid w:val="007560B0"/>
    <w:rsid w:val="007627D7"/>
    <w:rsid w:val="00776C4F"/>
    <w:rsid w:val="007838E4"/>
    <w:rsid w:val="007846DC"/>
    <w:rsid w:val="007A0A5C"/>
    <w:rsid w:val="007A19D8"/>
    <w:rsid w:val="007E36E4"/>
    <w:rsid w:val="007F0ACE"/>
    <w:rsid w:val="007F7BEF"/>
    <w:rsid w:val="00804024"/>
    <w:rsid w:val="0081753E"/>
    <w:rsid w:val="00825121"/>
    <w:rsid w:val="0085010E"/>
    <w:rsid w:val="0085454F"/>
    <w:rsid w:val="0087354F"/>
    <w:rsid w:val="00877500"/>
    <w:rsid w:val="00896985"/>
    <w:rsid w:val="008C53D0"/>
    <w:rsid w:val="008D527A"/>
    <w:rsid w:val="008D56DA"/>
    <w:rsid w:val="008D5771"/>
    <w:rsid w:val="008F472E"/>
    <w:rsid w:val="00902556"/>
    <w:rsid w:val="0090338C"/>
    <w:rsid w:val="0091048E"/>
    <w:rsid w:val="00924ABC"/>
    <w:rsid w:val="00940E8F"/>
    <w:rsid w:val="009428B7"/>
    <w:rsid w:val="0095309C"/>
    <w:rsid w:val="009652F2"/>
    <w:rsid w:val="00967D07"/>
    <w:rsid w:val="009719ED"/>
    <w:rsid w:val="00986C37"/>
    <w:rsid w:val="00997528"/>
    <w:rsid w:val="0099796A"/>
    <w:rsid w:val="009C1346"/>
    <w:rsid w:val="009D05C8"/>
    <w:rsid w:val="009E3C0B"/>
    <w:rsid w:val="009F330A"/>
    <w:rsid w:val="00A13244"/>
    <w:rsid w:val="00A239AA"/>
    <w:rsid w:val="00A439E8"/>
    <w:rsid w:val="00A45753"/>
    <w:rsid w:val="00A53423"/>
    <w:rsid w:val="00A62659"/>
    <w:rsid w:val="00A65F20"/>
    <w:rsid w:val="00A660CA"/>
    <w:rsid w:val="00A76293"/>
    <w:rsid w:val="00A77DA2"/>
    <w:rsid w:val="00A85D9D"/>
    <w:rsid w:val="00A92C4C"/>
    <w:rsid w:val="00AA602D"/>
    <w:rsid w:val="00AB572D"/>
    <w:rsid w:val="00AE2923"/>
    <w:rsid w:val="00AE7F9D"/>
    <w:rsid w:val="00B028F7"/>
    <w:rsid w:val="00B22863"/>
    <w:rsid w:val="00B41502"/>
    <w:rsid w:val="00B51024"/>
    <w:rsid w:val="00B60CD8"/>
    <w:rsid w:val="00B60E91"/>
    <w:rsid w:val="00B60F9C"/>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AE6"/>
    <w:rsid w:val="00CB3ED4"/>
    <w:rsid w:val="00CB3F86"/>
    <w:rsid w:val="00CD34F0"/>
    <w:rsid w:val="00CE0954"/>
    <w:rsid w:val="00CF11F7"/>
    <w:rsid w:val="00D1323F"/>
    <w:rsid w:val="00D202BA"/>
    <w:rsid w:val="00D24E11"/>
    <w:rsid w:val="00D251AC"/>
    <w:rsid w:val="00D43766"/>
    <w:rsid w:val="00D47CCF"/>
    <w:rsid w:val="00D6457B"/>
    <w:rsid w:val="00D66DEC"/>
    <w:rsid w:val="00D71A41"/>
    <w:rsid w:val="00D768A4"/>
    <w:rsid w:val="00D91E49"/>
    <w:rsid w:val="00D92F52"/>
    <w:rsid w:val="00DA753F"/>
    <w:rsid w:val="00DC182C"/>
    <w:rsid w:val="00DC5754"/>
    <w:rsid w:val="00DD34A3"/>
    <w:rsid w:val="00DD6056"/>
    <w:rsid w:val="00DE7C6A"/>
    <w:rsid w:val="00DF2857"/>
    <w:rsid w:val="00DF782B"/>
    <w:rsid w:val="00E03AEF"/>
    <w:rsid w:val="00E102DE"/>
    <w:rsid w:val="00E24825"/>
    <w:rsid w:val="00E42093"/>
    <w:rsid w:val="00E428A2"/>
    <w:rsid w:val="00E522AD"/>
    <w:rsid w:val="00E64103"/>
    <w:rsid w:val="00E76CD1"/>
    <w:rsid w:val="00EE4AD8"/>
    <w:rsid w:val="00EF51D8"/>
    <w:rsid w:val="00F139AC"/>
    <w:rsid w:val="00F21EAC"/>
    <w:rsid w:val="00F3243D"/>
    <w:rsid w:val="00F46D0D"/>
    <w:rsid w:val="00F568E0"/>
    <w:rsid w:val="00F92B59"/>
    <w:rsid w:val="00F948BC"/>
    <w:rsid w:val="00F960CF"/>
    <w:rsid w:val="00FA10A3"/>
    <w:rsid w:val="00FA1226"/>
    <w:rsid w:val="00FD09D8"/>
    <w:rsid w:val="00FE665B"/>
    <w:rsid w:val="00FF2318"/>
    <w:rsid w:val="00FF5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78EDE"/>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en-GB"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en-GB"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GB"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koncentracje.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wo.sejm.gov.pl/isap.nsf/DocDetails.xsp?id=WDU2007050033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OKiK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lgorzata.cieloch@uokik.gov.pl" TargetMode="External"/><Relationship Id="rId4" Type="http://schemas.openxmlformats.org/officeDocument/2006/relationships/webSettings" Target="webSettings.xml"/><Relationship Id="rId9" Type="http://schemas.openxmlformats.org/officeDocument/2006/relationships/hyperlink" Target="https://uokik.gov.pl/download.php?id=126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330</Words>
  <Characters>1984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Biuro Prasowe</cp:lastModifiedBy>
  <cp:revision>4</cp:revision>
  <cp:lastPrinted>2019-05-27T12:57:00Z</cp:lastPrinted>
  <dcterms:created xsi:type="dcterms:W3CDTF">2019-05-27T13:30:00Z</dcterms:created>
  <dcterms:modified xsi:type="dcterms:W3CDTF">2019-06-07T07:23:00Z</dcterms:modified>
</cp:coreProperties>
</file>