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01" w:rsidRDefault="00F14901" w:rsidP="00F14901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NORD STREAM 2 – KARA UOKiK </w:t>
      </w:r>
    </w:p>
    <w:p w:rsidR="00F14901" w:rsidRDefault="00F14901" w:rsidP="00F14901">
      <w:pPr>
        <w:numPr>
          <w:ilvl w:val="0"/>
          <w:numId w:val="8"/>
        </w:numPr>
        <w:spacing w:after="240"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Urząd Ochrony Konkurencji i Konsumentów nakłada karę w postępowaniu przeciw Gazpromowi i pięciu międzynarodowym podmiotom odpowiedzialnym za finansowanie gazociągu </w:t>
      </w:r>
      <w:proofErr w:type="spellStart"/>
      <w:r>
        <w:rPr>
          <w:b/>
          <w:color w:val="000000"/>
          <w:sz w:val="22"/>
        </w:rPr>
        <w:t>Nord</w:t>
      </w:r>
      <w:proofErr w:type="spellEnd"/>
      <w:r>
        <w:rPr>
          <w:b/>
          <w:color w:val="000000"/>
          <w:sz w:val="22"/>
        </w:rPr>
        <w:t xml:space="preserve"> </w:t>
      </w:r>
      <w:proofErr w:type="spellStart"/>
      <w:r>
        <w:rPr>
          <w:b/>
          <w:color w:val="000000"/>
          <w:sz w:val="22"/>
        </w:rPr>
        <w:t>Stream</w:t>
      </w:r>
      <w:proofErr w:type="spellEnd"/>
      <w:r>
        <w:rPr>
          <w:b/>
          <w:color w:val="000000"/>
          <w:sz w:val="22"/>
        </w:rPr>
        <w:t xml:space="preserve"> 2. </w:t>
      </w:r>
    </w:p>
    <w:p w:rsidR="00F14901" w:rsidRDefault="00F14901" w:rsidP="00F14901">
      <w:pPr>
        <w:numPr>
          <w:ilvl w:val="0"/>
          <w:numId w:val="8"/>
        </w:numPr>
        <w:spacing w:after="240"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172 mln zł – tyle zapłaci spółka </w:t>
      </w:r>
      <w:proofErr w:type="spellStart"/>
      <w:r>
        <w:rPr>
          <w:b/>
          <w:color w:val="000000"/>
          <w:sz w:val="22"/>
        </w:rPr>
        <w:t>Engie</w:t>
      </w:r>
      <w:proofErr w:type="spellEnd"/>
      <w:r>
        <w:rPr>
          <w:b/>
          <w:color w:val="000000"/>
          <w:sz w:val="22"/>
        </w:rPr>
        <w:t xml:space="preserve"> Energy za nieudzielenie informacji. </w:t>
      </w:r>
    </w:p>
    <w:p w:rsidR="00F14901" w:rsidRDefault="00F14901" w:rsidP="00F14901">
      <w:pPr>
        <w:numPr>
          <w:ilvl w:val="0"/>
          <w:numId w:val="8"/>
        </w:numPr>
        <w:spacing w:after="240" w:line="360" w:lineRule="auto"/>
        <w:jc w:val="both"/>
        <w:rPr>
          <w:b/>
          <w:color w:val="000000"/>
          <w:sz w:val="22"/>
        </w:rPr>
      </w:pPr>
      <w:r w:rsidRPr="003E5C2A">
        <w:rPr>
          <w:b/>
          <w:color w:val="000000"/>
          <w:sz w:val="22"/>
        </w:rPr>
        <w:t xml:space="preserve">To </w:t>
      </w:r>
      <w:r w:rsidR="0037583C" w:rsidRPr="003E5C2A">
        <w:rPr>
          <w:b/>
          <w:color w:val="000000"/>
          <w:sz w:val="22"/>
        </w:rPr>
        <w:t xml:space="preserve">skutek  braku współpracy </w:t>
      </w:r>
      <w:r w:rsidRPr="003E5C2A">
        <w:rPr>
          <w:b/>
          <w:color w:val="000000"/>
          <w:sz w:val="22"/>
        </w:rPr>
        <w:t xml:space="preserve">w postępowaniu </w:t>
      </w:r>
      <w:r w:rsidRPr="00B057E1">
        <w:rPr>
          <w:b/>
          <w:color w:val="000000"/>
          <w:sz w:val="22"/>
        </w:rPr>
        <w:t xml:space="preserve">prowadzonym </w:t>
      </w:r>
      <w:r>
        <w:rPr>
          <w:b/>
          <w:color w:val="000000"/>
          <w:sz w:val="22"/>
        </w:rPr>
        <w:t>przez szefa polskiego urzędu antymonopolowego - Marka Niechciała.</w:t>
      </w:r>
    </w:p>
    <w:p w:rsidR="00F14901" w:rsidRDefault="00F14901" w:rsidP="00F14901">
      <w:pPr>
        <w:spacing w:after="240"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[Warszawa, </w:t>
      </w:r>
      <w:r w:rsidR="003E5C2A">
        <w:rPr>
          <w:b/>
          <w:color w:val="000000"/>
          <w:sz w:val="22"/>
        </w:rPr>
        <w:t>8</w:t>
      </w:r>
      <w:r>
        <w:rPr>
          <w:b/>
          <w:color w:val="000000"/>
          <w:sz w:val="22"/>
        </w:rPr>
        <w:t xml:space="preserve"> listopada  2019 r.] </w:t>
      </w:r>
      <w:r>
        <w:rPr>
          <w:color w:val="000000"/>
          <w:sz w:val="22"/>
        </w:rPr>
        <w:t xml:space="preserve">Sprawa budowy </w:t>
      </w:r>
      <w:proofErr w:type="spellStart"/>
      <w:r>
        <w:rPr>
          <w:color w:val="000000"/>
          <w:sz w:val="22"/>
        </w:rPr>
        <w:t>Nord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Stream</w:t>
      </w:r>
      <w:proofErr w:type="spellEnd"/>
      <w:r>
        <w:rPr>
          <w:color w:val="000000"/>
          <w:sz w:val="22"/>
        </w:rPr>
        <w:t xml:space="preserve"> 2 była analizowana przez UOKiK w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sierpniu 2016 roku. Wówczas  </w:t>
      </w:r>
      <w:r w:rsidRPr="00B057E1">
        <w:rPr>
          <w:color w:val="000000"/>
          <w:sz w:val="22"/>
        </w:rPr>
        <w:t>prezes urzędu</w:t>
      </w:r>
      <w:r>
        <w:rPr>
          <w:color w:val="000000"/>
          <w:sz w:val="22"/>
        </w:rPr>
        <w:t xml:space="preserve"> uznał, że planowana koncentracja między Gazpromem oraz pięcioma spółkami międzynarodowymi  </w:t>
      </w:r>
      <w:r>
        <w:rPr>
          <w:rStyle w:val="Hipercze"/>
          <w:sz w:val="22"/>
        </w:rPr>
        <w:t>mogłaby doprowadzić do ograniczenia konkurencji i przedstawił zastrzeżenia.</w:t>
      </w:r>
      <w:r w:rsidR="00316FD1">
        <w:rPr>
          <w:color w:val="000000"/>
          <w:sz w:val="22"/>
        </w:rPr>
        <w:t xml:space="preserve"> Uczestnicy konsorcjum wycofali wniosek. W praktyce oznaczało </w:t>
      </w:r>
      <w:r w:rsidR="003F6390" w:rsidRPr="0037583C">
        <w:rPr>
          <w:color w:val="000000"/>
          <w:sz w:val="22"/>
        </w:rPr>
        <w:t xml:space="preserve"> </w:t>
      </w:r>
      <w:r w:rsidR="00316FD1">
        <w:rPr>
          <w:color w:val="000000"/>
          <w:sz w:val="22"/>
        </w:rPr>
        <w:t xml:space="preserve">to </w:t>
      </w:r>
      <w:hyperlink r:id="rId7" w:history="1">
        <w:r w:rsidR="003F6390" w:rsidRPr="0037583C">
          <w:rPr>
            <w:rStyle w:val="Hipercze"/>
            <w:sz w:val="22"/>
          </w:rPr>
          <w:t>zakaz połączenia.</w:t>
        </w:r>
      </w:hyperlink>
      <w:r w:rsidR="003F6390">
        <w:rPr>
          <w:color w:val="000000"/>
          <w:sz w:val="22"/>
        </w:rPr>
        <w:t xml:space="preserve"> </w:t>
      </w:r>
    </w:p>
    <w:p w:rsidR="00F14901" w:rsidRDefault="00F14901" w:rsidP="00F14901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Od kwietnia </w:t>
      </w:r>
      <w:r w:rsidR="00650334">
        <w:rPr>
          <w:color w:val="000000"/>
          <w:sz w:val="22"/>
        </w:rPr>
        <w:t xml:space="preserve">2018 </w:t>
      </w:r>
      <w:r>
        <w:rPr>
          <w:color w:val="000000"/>
          <w:sz w:val="22"/>
        </w:rPr>
        <w:t>roku urząd ponownie analizuj</w:t>
      </w:r>
      <w:r w:rsidR="00804700">
        <w:rPr>
          <w:color w:val="000000"/>
          <w:sz w:val="22"/>
        </w:rPr>
        <w:t>e</w:t>
      </w:r>
      <w:r>
        <w:rPr>
          <w:color w:val="000000"/>
          <w:sz w:val="22"/>
        </w:rPr>
        <w:t xml:space="preserve"> sprawę, prowadząc </w:t>
      </w:r>
      <w:hyperlink r:id="rId8" w:history="1">
        <w:r>
          <w:rPr>
            <w:rStyle w:val="Hipercze"/>
            <w:sz w:val="22"/>
          </w:rPr>
          <w:t>precedensowe postępowanie</w:t>
        </w:r>
      </w:hyperlink>
      <w:r>
        <w:rPr>
          <w:color w:val="000000"/>
          <w:sz w:val="22"/>
        </w:rPr>
        <w:t xml:space="preserve"> antymonopolowe. Prezes UOKiK postawił zarzuty sześciu spółkom, które podejrzane są o sfinalizowanie transakcji mimo braku zgody polskiego urzędu antymonopolowego. Są to przedsiębiorcy należący do międzynarodowych grup: Gazprom z Federacji Rosyjskiej, </w:t>
      </w:r>
      <w:proofErr w:type="spellStart"/>
      <w:r>
        <w:rPr>
          <w:color w:val="000000"/>
          <w:sz w:val="22"/>
        </w:rPr>
        <w:t>Engie</w:t>
      </w:r>
      <w:proofErr w:type="spellEnd"/>
      <w:r>
        <w:rPr>
          <w:color w:val="000000"/>
          <w:sz w:val="22"/>
        </w:rPr>
        <w:t xml:space="preserve"> ze Szwajcarii, a także czterech pochodzących z Holandii:  </w:t>
      </w:r>
      <w:proofErr w:type="spellStart"/>
      <w:r>
        <w:rPr>
          <w:color w:val="000000"/>
          <w:sz w:val="22"/>
        </w:rPr>
        <w:t>Uniper</w:t>
      </w:r>
      <w:proofErr w:type="spellEnd"/>
      <w:r>
        <w:rPr>
          <w:color w:val="000000"/>
          <w:sz w:val="22"/>
        </w:rPr>
        <w:t xml:space="preserve">, OMV, Shell oraz </w:t>
      </w:r>
      <w:proofErr w:type="spellStart"/>
      <w:r>
        <w:rPr>
          <w:color w:val="000000"/>
          <w:sz w:val="22"/>
        </w:rPr>
        <w:t>Wintershall</w:t>
      </w:r>
      <w:proofErr w:type="spellEnd"/>
      <w:r>
        <w:rPr>
          <w:color w:val="000000"/>
          <w:sz w:val="22"/>
        </w:rPr>
        <w:t>.</w:t>
      </w:r>
    </w:p>
    <w:p w:rsidR="00F14901" w:rsidRDefault="00F14901" w:rsidP="00F14901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Zdaniem urzędu, działania konsorcjantów mogą być próbą obejścia </w:t>
      </w:r>
      <w:r w:rsidR="00650334">
        <w:rPr>
          <w:color w:val="000000"/>
          <w:sz w:val="22"/>
        </w:rPr>
        <w:t xml:space="preserve">przepisów poprzez </w:t>
      </w:r>
      <w:r>
        <w:rPr>
          <w:color w:val="000000"/>
          <w:sz w:val="22"/>
        </w:rPr>
        <w:t>utworzenie spółki finansującej budowę gazociągu</w:t>
      </w:r>
      <w:r w:rsidR="00650334" w:rsidRPr="00650334">
        <w:rPr>
          <w:color w:val="000000"/>
          <w:sz w:val="22"/>
        </w:rPr>
        <w:t xml:space="preserve"> </w:t>
      </w:r>
      <w:r w:rsidR="00650334">
        <w:rPr>
          <w:color w:val="000000"/>
          <w:sz w:val="22"/>
        </w:rPr>
        <w:t>bez zgody organu antymonopolowego</w:t>
      </w:r>
      <w:r>
        <w:rPr>
          <w:color w:val="000000"/>
          <w:sz w:val="22"/>
        </w:rPr>
        <w:t>. Zarówno bowiem</w:t>
      </w:r>
      <w:r w:rsidR="00650334">
        <w:rPr>
          <w:color w:val="000000"/>
          <w:sz w:val="22"/>
        </w:rPr>
        <w:t xml:space="preserve"> wycofane zgłoszenie utworzenia</w:t>
      </w:r>
      <w:r>
        <w:rPr>
          <w:color w:val="000000"/>
          <w:sz w:val="22"/>
        </w:rPr>
        <w:t xml:space="preserve"> joint venture, jak i zawarcie późniejszych umów - miało ten sam cel: sfinansowanie budowy </w:t>
      </w:r>
      <w:proofErr w:type="spellStart"/>
      <w:r>
        <w:rPr>
          <w:color w:val="000000"/>
          <w:sz w:val="22"/>
        </w:rPr>
        <w:t>Nord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Stream</w:t>
      </w:r>
      <w:proofErr w:type="spellEnd"/>
      <w:r>
        <w:rPr>
          <w:color w:val="000000"/>
          <w:sz w:val="22"/>
        </w:rPr>
        <w:t xml:space="preserve"> 2. Dzisiejsza decyzja dotyczy jednej z sześciu spółek - </w:t>
      </w:r>
      <w:proofErr w:type="spellStart"/>
      <w:r>
        <w:rPr>
          <w:color w:val="000000"/>
          <w:sz w:val="22"/>
        </w:rPr>
        <w:t>Engie</w:t>
      </w:r>
      <w:proofErr w:type="spellEnd"/>
      <w:r>
        <w:rPr>
          <w:color w:val="000000"/>
          <w:sz w:val="22"/>
        </w:rPr>
        <w:t xml:space="preserve"> Energy.</w:t>
      </w:r>
    </w:p>
    <w:p w:rsidR="00F14901" w:rsidRDefault="00F14901" w:rsidP="00F14901">
      <w:pPr>
        <w:spacing w:after="240" w:line="360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- </w:t>
      </w:r>
      <w:r w:rsidR="0037583C">
        <w:rPr>
          <w:i/>
          <w:color w:val="000000"/>
          <w:sz w:val="22"/>
        </w:rPr>
        <w:t>P</w:t>
      </w:r>
      <w:r>
        <w:rPr>
          <w:i/>
          <w:color w:val="000000"/>
          <w:sz w:val="22"/>
        </w:rPr>
        <w:t xml:space="preserve">rosiliśmy spółkę o dokumenty i dane dotyczące umów zawartych z Gazpromem. Interesują nas informacje o paliwach gazowych, w szczególności umów przesyłu, dystrybucji, sprzedaży, dostaw czy magazynowania. Dane te są niezbędne w prowadzonym postępowaniu antymonopolowym, w którym sprawdzamy czy </w:t>
      </w:r>
      <w:proofErr w:type="spellStart"/>
      <w:r w:rsidR="00077D80">
        <w:rPr>
          <w:i/>
          <w:color w:val="000000"/>
          <w:sz w:val="22"/>
        </w:rPr>
        <w:t>Engie</w:t>
      </w:r>
      <w:proofErr w:type="spellEnd"/>
      <w:r w:rsidR="00077D80">
        <w:rPr>
          <w:i/>
          <w:color w:val="000000"/>
          <w:sz w:val="22"/>
        </w:rPr>
        <w:t xml:space="preserve"> </w:t>
      </w:r>
      <w:bookmarkStart w:id="0" w:name="_GoBack"/>
      <w:bookmarkEnd w:id="0"/>
      <w:r w:rsidR="00077D80">
        <w:rPr>
          <w:i/>
          <w:color w:val="000000"/>
          <w:sz w:val="22"/>
        </w:rPr>
        <w:t xml:space="preserve">Energy </w:t>
      </w:r>
      <w:r>
        <w:rPr>
          <w:i/>
          <w:color w:val="000000"/>
          <w:sz w:val="22"/>
        </w:rPr>
        <w:t xml:space="preserve">oraz 5 innych podmiotów </w:t>
      </w:r>
      <w:r>
        <w:rPr>
          <w:i/>
          <w:color w:val="000000"/>
          <w:sz w:val="22"/>
        </w:rPr>
        <w:lastRenderedPageBreak/>
        <w:t xml:space="preserve">utworzyły wspólnego przedsiębiorcę bez naszej zgody – </w:t>
      </w:r>
      <w:r>
        <w:rPr>
          <w:color w:val="000000"/>
          <w:sz w:val="22"/>
        </w:rPr>
        <w:t>wyjaśnia</w:t>
      </w:r>
      <w:r>
        <w:rPr>
          <w:b/>
          <w:color w:val="000000"/>
          <w:sz w:val="22"/>
        </w:rPr>
        <w:t xml:space="preserve"> Marek Niechciał prezes UOKiK.</w:t>
      </w:r>
      <w:r>
        <w:rPr>
          <w:i/>
          <w:color w:val="000000"/>
          <w:sz w:val="22"/>
        </w:rPr>
        <w:t xml:space="preserve"> </w:t>
      </w:r>
    </w:p>
    <w:p w:rsidR="00A27F0B" w:rsidRPr="00A27F0B" w:rsidRDefault="00A27F0B" w:rsidP="00F14901">
      <w:pPr>
        <w:spacing w:after="240" w:line="360" w:lineRule="auto"/>
        <w:jc w:val="both"/>
        <w:rPr>
          <w:b/>
          <w:color w:val="000000"/>
          <w:sz w:val="22"/>
        </w:rPr>
      </w:pPr>
      <w:r>
        <w:rPr>
          <w:rFonts w:cs="Segoe UI"/>
          <w:i/>
          <w:color w:val="222222"/>
          <w:sz w:val="22"/>
          <w:shd w:val="clear" w:color="auto" w:fill="FFFFFF"/>
        </w:rPr>
        <w:t xml:space="preserve">- Spółka uporczywie i bezpodstawnie odmawiała przekazania nam żądanych dokumentów i materiałów. Spowodowało to istotne opóźnienie w prowadzeniu naszych działań  dotyczących finansowania budowy gazociągu NS2 – </w:t>
      </w:r>
      <w:r w:rsidRPr="0086484C">
        <w:rPr>
          <w:rFonts w:cs="Segoe UI"/>
          <w:color w:val="222222"/>
          <w:sz w:val="22"/>
          <w:shd w:val="clear" w:color="auto" w:fill="FFFFFF"/>
        </w:rPr>
        <w:t>dodaje</w:t>
      </w:r>
      <w:r>
        <w:rPr>
          <w:rFonts w:cs="Segoe UI"/>
          <w:b/>
          <w:color w:val="222222"/>
          <w:sz w:val="22"/>
          <w:shd w:val="clear" w:color="auto" w:fill="FFFFFF"/>
        </w:rPr>
        <w:t xml:space="preserve"> Michał </w:t>
      </w:r>
      <w:proofErr w:type="spellStart"/>
      <w:r>
        <w:rPr>
          <w:rFonts w:cs="Segoe UI"/>
          <w:b/>
          <w:color w:val="222222"/>
          <w:sz w:val="22"/>
          <w:shd w:val="clear" w:color="auto" w:fill="FFFFFF"/>
        </w:rPr>
        <w:t>Holeksa</w:t>
      </w:r>
      <w:proofErr w:type="spellEnd"/>
      <w:r>
        <w:rPr>
          <w:rFonts w:cs="Segoe UI"/>
          <w:b/>
          <w:color w:val="222222"/>
          <w:sz w:val="22"/>
          <w:shd w:val="clear" w:color="auto" w:fill="FFFFFF"/>
        </w:rPr>
        <w:t xml:space="preserve"> wiceprezes </w:t>
      </w:r>
      <w:r w:rsidR="0013448D">
        <w:rPr>
          <w:rFonts w:cs="Segoe UI"/>
          <w:b/>
          <w:color w:val="222222"/>
          <w:sz w:val="22"/>
          <w:shd w:val="clear" w:color="auto" w:fill="FFFFFF"/>
        </w:rPr>
        <w:t>UOKiK</w:t>
      </w:r>
      <w:r>
        <w:rPr>
          <w:rFonts w:cs="Segoe UI"/>
          <w:b/>
          <w:color w:val="222222"/>
          <w:sz w:val="22"/>
          <w:shd w:val="clear" w:color="auto" w:fill="FFFFFF"/>
        </w:rPr>
        <w:t xml:space="preserve">. </w:t>
      </w:r>
    </w:p>
    <w:p w:rsidR="00F14901" w:rsidRDefault="00F14901" w:rsidP="00F14901">
      <w:pPr>
        <w:spacing w:after="24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Za nieudzielenie informacji podczas prowadzonego postępowania urząd może nałożyć na </w:t>
      </w:r>
      <w:r w:rsidR="008301D0">
        <w:rPr>
          <w:color w:val="000000"/>
          <w:sz w:val="22"/>
        </w:rPr>
        <w:t xml:space="preserve">przedsiębiorcę maksymalnie </w:t>
      </w:r>
      <w:r>
        <w:rPr>
          <w:color w:val="000000"/>
          <w:sz w:val="22"/>
        </w:rPr>
        <w:t xml:space="preserve">karę do 50 mln euro. </w:t>
      </w:r>
      <w:r>
        <w:rPr>
          <w:b/>
          <w:color w:val="000000"/>
          <w:sz w:val="22"/>
        </w:rPr>
        <w:t xml:space="preserve">Korzystając z tego prawa, prezes UOKiK ukarał  </w:t>
      </w:r>
      <w:proofErr w:type="spellStart"/>
      <w:r>
        <w:rPr>
          <w:b/>
          <w:color w:val="000000"/>
          <w:sz w:val="22"/>
        </w:rPr>
        <w:t>Engie</w:t>
      </w:r>
      <w:proofErr w:type="spellEnd"/>
      <w:r>
        <w:rPr>
          <w:b/>
          <w:color w:val="000000"/>
          <w:sz w:val="22"/>
        </w:rPr>
        <w:t xml:space="preserve"> Energy Management Holding </w:t>
      </w:r>
      <w:proofErr w:type="spellStart"/>
      <w:r>
        <w:rPr>
          <w:b/>
          <w:color w:val="000000"/>
          <w:sz w:val="22"/>
        </w:rPr>
        <w:t>Switzerland</w:t>
      </w:r>
      <w:proofErr w:type="spellEnd"/>
      <w:r>
        <w:rPr>
          <w:b/>
          <w:color w:val="000000"/>
          <w:sz w:val="22"/>
        </w:rPr>
        <w:t xml:space="preserve"> sankcją w wysokości 172 mln zł  (równowartość 40 mln euro). </w:t>
      </w:r>
    </w:p>
    <w:p w:rsidR="00F14901" w:rsidRDefault="00F14901" w:rsidP="00F14901">
      <w:pPr>
        <w:spacing w:after="240" w:line="360" w:lineRule="auto"/>
        <w:jc w:val="both"/>
        <w:rPr>
          <w:b/>
          <w:color w:val="000000"/>
          <w:sz w:val="22"/>
        </w:rPr>
      </w:pPr>
      <w:r>
        <w:rPr>
          <w:i/>
          <w:color w:val="000000"/>
          <w:sz w:val="22"/>
        </w:rPr>
        <w:t xml:space="preserve">- Prowadzimy bardzo ważne postępowanie antymonopolowe w sprawie </w:t>
      </w:r>
      <w:proofErr w:type="spellStart"/>
      <w:r>
        <w:rPr>
          <w:i/>
          <w:color w:val="000000"/>
          <w:sz w:val="22"/>
        </w:rPr>
        <w:t>Nord</w:t>
      </w:r>
      <w:proofErr w:type="spellEnd"/>
      <w:r>
        <w:rPr>
          <w:i/>
          <w:color w:val="000000"/>
          <w:sz w:val="22"/>
        </w:rPr>
        <w:t xml:space="preserve"> </w:t>
      </w:r>
      <w:proofErr w:type="spellStart"/>
      <w:r>
        <w:rPr>
          <w:i/>
          <w:color w:val="000000"/>
          <w:sz w:val="22"/>
        </w:rPr>
        <w:t>Stream</w:t>
      </w:r>
      <w:proofErr w:type="spellEnd"/>
      <w:r>
        <w:rPr>
          <w:i/>
          <w:color w:val="000000"/>
          <w:sz w:val="22"/>
        </w:rPr>
        <w:t xml:space="preserve"> 2, którego skutki mogą mieć charakter międzynarodowy. Ustalając wysokość kary na </w:t>
      </w:r>
      <w:proofErr w:type="spellStart"/>
      <w:r>
        <w:rPr>
          <w:i/>
          <w:color w:val="000000"/>
          <w:sz w:val="22"/>
        </w:rPr>
        <w:t>Engie</w:t>
      </w:r>
      <w:proofErr w:type="spellEnd"/>
      <w:r>
        <w:rPr>
          <w:i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Energy</w:t>
      </w:r>
      <w:r>
        <w:rPr>
          <w:i/>
          <w:color w:val="000000"/>
          <w:sz w:val="22"/>
        </w:rPr>
        <w:t xml:space="preserve"> braliśmy pod uwagę znaczenie tych informacji dla prowadzonego postępowania, a także umyślność działania tej spółki. Dzisiejsza decyzja z karą</w:t>
      </w:r>
      <w:r w:rsidR="00316FD1">
        <w:rPr>
          <w:i/>
          <w:color w:val="000000"/>
          <w:sz w:val="22"/>
        </w:rPr>
        <w:t>,</w:t>
      </w:r>
      <w:r>
        <w:rPr>
          <w:i/>
          <w:color w:val="000000"/>
          <w:sz w:val="22"/>
        </w:rPr>
        <w:t xml:space="preserve"> to tylko jeden z etapów tego projektu – </w:t>
      </w:r>
      <w:r>
        <w:rPr>
          <w:color w:val="000000"/>
          <w:sz w:val="22"/>
        </w:rPr>
        <w:t xml:space="preserve">dodaje </w:t>
      </w:r>
      <w:r>
        <w:rPr>
          <w:b/>
          <w:color w:val="000000"/>
          <w:sz w:val="22"/>
        </w:rPr>
        <w:t xml:space="preserve">Marek Niechciał prezes UOKiK. </w:t>
      </w:r>
    </w:p>
    <w:p w:rsidR="00F14901" w:rsidRDefault="00F14901" w:rsidP="00F14901">
      <w:pPr>
        <w:spacing w:after="240" w:line="360" w:lineRule="auto"/>
        <w:jc w:val="both"/>
        <w:rPr>
          <w:sz w:val="22"/>
        </w:rPr>
      </w:pPr>
      <w:r>
        <w:rPr>
          <w:rFonts w:cs="Segoe UI"/>
          <w:color w:val="222222"/>
          <w:sz w:val="22"/>
          <w:shd w:val="clear" w:color="auto" w:fill="FFFFFF"/>
        </w:rPr>
        <w:t>W ramach postępowania antymonopolowego</w:t>
      </w:r>
      <w:r>
        <w:rPr>
          <w:rFonts w:cs="Segoe UI"/>
          <w:i/>
          <w:color w:val="222222"/>
          <w:sz w:val="22"/>
          <w:shd w:val="clear" w:color="auto" w:fill="FFFFFF"/>
        </w:rPr>
        <w:t xml:space="preserve"> </w:t>
      </w:r>
      <w:r>
        <w:rPr>
          <w:sz w:val="22"/>
        </w:rPr>
        <w:t xml:space="preserve">urząd obecnie analizuje dokumenty zebrane od pozostałych podmiotów. Mimo różnych utrudnień, m.in. takich jak opisany dziś przykład spółki </w:t>
      </w:r>
      <w:proofErr w:type="spellStart"/>
      <w:r w:rsidR="00077D80">
        <w:rPr>
          <w:sz w:val="22"/>
        </w:rPr>
        <w:t>Engie</w:t>
      </w:r>
      <w:proofErr w:type="spellEnd"/>
      <w:r w:rsidR="00077D80">
        <w:rPr>
          <w:sz w:val="22"/>
        </w:rPr>
        <w:t xml:space="preserve"> Energy </w:t>
      </w:r>
      <w:r>
        <w:rPr>
          <w:sz w:val="22"/>
        </w:rPr>
        <w:t xml:space="preserve">UOKiK zebrał już obszerny materiał dowodowy (w tym m.in. umowy związane z finansowaniem NS2). </w:t>
      </w:r>
    </w:p>
    <w:p w:rsidR="00F14901" w:rsidRDefault="00B057E1" w:rsidP="00F14901">
      <w:pPr>
        <w:spacing w:after="240" w:line="360" w:lineRule="auto"/>
        <w:jc w:val="both"/>
        <w:rPr>
          <w:sz w:val="22"/>
        </w:rPr>
      </w:pPr>
      <w:r w:rsidRPr="0037583C">
        <w:rPr>
          <w:rFonts w:cs="Tahoma"/>
          <w:sz w:val="22"/>
          <w:shd w:val="clear" w:color="auto" w:fill="FFFFFF"/>
        </w:rPr>
        <w:t>Za dokonanie</w:t>
      </w:r>
      <w:r w:rsidR="00F14901" w:rsidRPr="0037583C">
        <w:rPr>
          <w:rFonts w:cs="Tahoma"/>
          <w:sz w:val="22"/>
          <w:shd w:val="clear" w:color="auto" w:fill="FFFFFF"/>
        </w:rPr>
        <w:t xml:space="preserve"> koncentracji</w:t>
      </w:r>
      <w:r w:rsidR="00F14901">
        <w:rPr>
          <w:rFonts w:cs="Tahoma"/>
          <w:sz w:val="22"/>
          <w:shd w:val="clear" w:color="auto" w:fill="FFFFFF"/>
        </w:rPr>
        <w:t xml:space="preserve"> bez uzyskania zgody prezesa UOKiK  grozi kara do 10 proc. obrotu. Ponadto, jeżeli została ona dokonana, a przywrócenie konkurencji na rynku nie jest możliwe, prezes urzędu może nakazać, np. zbycie całości lub części majątku przedsiębiorcy, udziałów, akcji zapewniających kontrolę nad przedsiębiorcą, a także rozwiązanie spółki, nad którą przedsiębiorcy sprawują wspólną kontrolę</w:t>
      </w:r>
      <w:r w:rsidR="00F14901">
        <w:rPr>
          <w:rFonts w:cs="Tahoma"/>
          <w:color w:val="3C4147"/>
          <w:sz w:val="22"/>
          <w:shd w:val="clear" w:color="auto" w:fill="FFFFFF"/>
        </w:rPr>
        <w:t>.</w:t>
      </w:r>
    </w:p>
    <w:p w:rsidR="00F14901" w:rsidRDefault="00F14901" w:rsidP="005A3BA7">
      <w:pPr>
        <w:spacing w:line="360" w:lineRule="auto"/>
        <w:jc w:val="both"/>
        <w:rPr>
          <w:sz w:val="32"/>
          <w:szCs w:val="32"/>
        </w:rPr>
      </w:pPr>
    </w:p>
    <w:p w:rsidR="00B73F22" w:rsidRPr="00B73F22" w:rsidRDefault="00B73F22" w:rsidP="005A3BA7">
      <w:pPr>
        <w:spacing w:after="240" w:line="360" w:lineRule="auto"/>
        <w:jc w:val="both"/>
        <w:rPr>
          <w:sz w:val="22"/>
        </w:rPr>
      </w:pPr>
    </w:p>
    <w:sectPr w:rsidR="00B73F22" w:rsidRPr="00B73F22" w:rsidSect="008D5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5AFB7" w16cid:durableId="216E9B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C0" w:rsidRDefault="002B35C0">
      <w:r>
        <w:separator/>
      </w:r>
    </w:p>
  </w:endnote>
  <w:endnote w:type="continuationSeparator" w:id="0">
    <w:p w:rsidR="002B35C0" w:rsidRDefault="002B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E7" w:rsidRDefault="00876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924ABC" w:rsidRDefault="005A3BA7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432EB95" wp14:editId="40849044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89F5213" wp14:editId="531C86C8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89F52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6B855F" wp14:editId="1FE8316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3251C8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E7" w:rsidRDefault="00876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C0" w:rsidRDefault="002B35C0">
      <w:r>
        <w:separator/>
      </w:r>
    </w:p>
  </w:footnote>
  <w:footnote w:type="continuationSeparator" w:id="0">
    <w:p w:rsidR="002B35C0" w:rsidRDefault="002B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E7" w:rsidRDefault="008769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FE77B89" wp14:editId="7E7B1DCB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077D80" w:rsidP="0041396E">
    <w:pPr>
      <w:pStyle w:val="Nagwek"/>
      <w:tabs>
        <w:tab w:val="clear" w:pos="9072"/>
      </w:tabs>
    </w:pPr>
  </w:p>
  <w:p w:rsidR="0059016B" w:rsidRDefault="00077D80" w:rsidP="0041396E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E7" w:rsidRDefault="00876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90B4B"/>
    <w:multiLevelType w:val="hybridMultilevel"/>
    <w:tmpl w:val="DD4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A4027"/>
    <w:multiLevelType w:val="hybridMultilevel"/>
    <w:tmpl w:val="9FB0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66212"/>
    <w:rsid w:val="00073AA7"/>
    <w:rsid w:val="00077D80"/>
    <w:rsid w:val="000A74FA"/>
    <w:rsid w:val="000B149D"/>
    <w:rsid w:val="000B1AC5"/>
    <w:rsid w:val="000B7247"/>
    <w:rsid w:val="0010559C"/>
    <w:rsid w:val="00107844"/>
    <w:rsid w:val="00115B9B"/>
    <w:rsid w:val="00120FBD"/>
    <w:rsid w:val="0012424D"/>
    <w:rsid w:val="0013159A"/>
    <w:rsid w:val="0013448D"/>
    <w:rsid w:val="00135455"/>
    <w:rsid w:val="00143310"/>
    <w:rsid w:val="00144E9C"/>
    <w:rsid w:val="00155EB2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B35C0"/>
    <w:rsid w:val="002C0D5D"/>
    <w:rsid w:val="002C692D"/>
    <w:rsid w:val="002C6ABE"/>
    <w:rsid w:val="002E388C"/>
    <w:rsid w:val="002F1BF3"/>
    <w:rsid w:val="002F4D43"/>
    <w:rsid w:val="003056C6"/>
    <w:rsid w:val="00311B14"/>
    <w:rsid w:val="0031505D"/>
    <w:rsid w:val="00316FD1"/>
    <w:rsid w:val="00324306"/>
    <w:rsid w:val="003278D6"/>
    <w:rsid w:val="00327E04"/>
    <w:rsid w:val="003303F0"/>
    <w:rsid w:val="0034059B"/>
    <w:rsid w:val="0035019C"/>
    <w:rsid w:val="00360248"/>
    <w:rsid w:val="00366A46"/>
    <w:rsid w:val="0037583C"/>
    <w:rsid w:val="00377A0D"/>
    <w:rsid w:val="0038677D"/>
    <w:rsid w:val="003D3FF4"/>
    <w:rsid w:val="003D7161"/>
    <w:rsid w:val="003E3F9D"/>
    <w:rsid w:val="003E5C2A"/>
    <w:rsid w:val="003E69E5"/>
    <w:rsid w:val="003F6390"/>
    <w:rsid w:val="0040748E"/>
    <w:rsid w:val="00412206"/>
    <w:rsid w:val="0042055E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3BA7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0334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04AC2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4024"/>
    <w:rsid w:val="00804700"/>
    <w:rsid w:val="0081753E"/>
    <w:rsid w:val="008301D0"/>
    <w:rsid w:val="0085010E"/>
    <w:rsid w:val="0085454F"/>
    <w:rsid w:val="0086484C"/>
    <w:rsid w:val="0087354F"/>
    <w:rsid w:val="008769E7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C59A0"/>
    <w:rsid w:val="009D05C8"/>
    <w:rsid w:val="009E3C0B"/>
    <w:rsid w:val="00A073B2"/>
    <w:rsid w:val="00A13244"/>
    <w:rsid w:val="00A239AA"/>
    <w:rsid w:val="00A27F0B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F26"/>
    <w:rsid w:val="00B01985"/>
    <w:rsid w:val="00B028F7"/>
    <w:rsid w:val="00B057E1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356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E4AD8"/>
    <w:rsid w:val="00EF6B9B"/>
    <w:rsid w:val="00F139AC"/>
    <w:rsid w:val="00F14901"/>
    <w:rsid w:val="00F21EAC"/>
    <w:rsid w:val="00F3243D"/>
    <w:rsid w:val="00F46D0D"/>
    <w:rsid w:val="00F92B59"/>
    <w:rsid w:val="00F948BC"/>
    <w:rsid w:val="00F960CF"/>
    <w:rsid w:val="00FA10A3"/>
    <w:rsid w:val="00FA1226"/>
    <w:rsid w:val="00FA6A2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4322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251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11</cp:revision>
  <cp:lastPrinted>2019-11-08T08:51:00Z</cp:lastPrinted>
  <dcterms:created xsi:type="dcterms:W3CDTF">2019-11-07T15:13:00Z</dcterms:created>
  <dcterms:modified xsi:type="dcterms:W3CDTF">2019-11-08T08:52:00Z</dcterms:modified>
</cp:coreProperties>
</file>