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E2C36" w14:textId="1ED8C9C3" w:rsidR="00F14901" w:rsidRPr="008D2352" w:rsidRDefault="004C7817" w:rsidP="00F14901">
      <w:pPr>
        <w:spacing w:after="240" w:line="360" w:lineRule="auto"/>
        <w:jc w:val="both"/>
        <w:rPr>
          <w:sz w:val="32"/>
          <w:szCs w:val="32"/>
          <w:lang w:val="en-US"/>
        </w:rPr>
      </w:pPr>
      <w:r>
        <w:rPr>
          <w:sz w:val="32"/>
          <w:szCs w:val="32"/>
          <w:lang w:val="en-US"/>
        </w:rPr>
        <w:t xml:space="preserve">NORD STREAM 2 </w:t>
      </w:r>
      <w:r w:rsidR="00E91277" w:rsidRPr="00D92A7E">
        <w:rPr>
          <w:sz w:val="32"/>
          <w:szCs w:val="32"/>
          <w:lang w:val="en-US"/>
        </w:rPr>
        <w:t>– PRESIDENT OF THE OFFICE OF COMPETITION AND CONSUMER PROTECTION MAY I</w:t>
      </w:r>
      <w:r w:rsidR="00F16CE4">
        <w:rPr>
          <w:sz w:val="32"/>
          <w:szCs w:val="32"/>
          <w:lang w:val="en-US"/>
        </w:rPr>
        <w:t>MPOSE A EUR 50 MILLION FINE ON GAZPROM</w:t>
      </w:r>
    </w:p>
    <w:p w14:paraId="4CD2E164" w14:textId="50B9B864" w:rsidR="00F14901" w:rsidRPr="008D2352" w:rsidRDefault="00714D86" w:rsidP="00F14901">
      <w:pPr>
        <w:numPr>
          <w:ilvl w:val="0"/>
          <w:numId w:val="8"/>
        </w:numPr>
        <w:spacing w:after="240" w:line="360" w:lineRule="auto"/>
        <w:jc w:val="both"/>
        <w:rPr>
          <w:b/>
          <w:color w:val="000000"/>
          <w:sz w:val="22"/>
          <w:lang w:val="en-US"/>
        </w:rPr>
      </w:pPr>
      <w:r w:rsidRPr="00D92A7E">
        <w:rPr>
          <w:b/>
          <w:bCs/>
          <w:color w:val="000000"/>
          <w:sz w:val="22"/>
          <w:lang w:val="en-US"/>
        </w:rPr>
        <w:t>The President of the Office of Competition and Consumer Protection (</w:t>
      </w:r>
      <w:proofErr w:type="spellStart"/>
      <w:r w:rsidRPr="00D92A7E">
        <w:rPr>
          <w:b/>
          <w:bCs/>
          <w:color w:val="000000"/>
          <w:sz w:val="22"/>
          <w:lang w:val="en-US"/>
        </w:rPr>
        <w:t>UOKiK</w:t>
      </w:r>
      <w:proofErr w:type="spellEnd"/>
      <w:r w:rsidRPr="00D92A7E">
        <w:rPr>
          <w:b/>
          <w:bCs/>
          <w:color w:val="000000"/>
          <w:sz w:val="22"/>
          <w:lang w:val="en-US"/>
        </w:rPr>
        <w:t xml:space="preserve">) </w:t>
      </w:r>
      <w:r w:rsidR="00F16CE4">
        <w:rPr>
          <w:b/>
          <w:bCs/>
          <w:color w:val="000000"/>
          <w:sz w:val="22"/>
          <w:lang w:val="en-US"/>
        </w:rPr>
        <w:t>initiated proceedings against Gazprom</w:t>
      </w:r>
      <w:r w:rsidRPr="00D92A7E">
        <w:rPr>
          <w:b/>
          <w:bCs/>
          <w:color w:val="000000"/>
          <w:sz w:val="22"/>
          <w:lang w:val="en-US"/>
        </w:rPr>
        <w:t xml:space="preserve"> for lack of cooperation during an anti-trust investigation.</w:t>
      </w:r>
    </w:p>
    <w:p w14:paraId="511DA7FF" w14:textId="5AC60E80" w:rsidR="00D85A53" w:rsidRPr="008D2352" w:rsidRDefault="00E91277" w:rsidP="00F14901">
      <w:pPr>
        <w:numPr>
          <w:ilvl w:val="0"/>
          <w:numId w:val="8"/>
        </w:numPr>
        <w:spacing w:after="240" w:line="360" w:lineRule="auto"/>
        <w:jc w:val="both"/>
        <w:rPr>
          <w:b/>
          <w:color w:val="000000"/>
          <w:sz w:val="22"/>
          <w:lang w:val="en-US"/>
        </w:rPr>
      </w:pPr>
      <w:r w:rsidRPr="00D92A7E">
        <w:rPr>
          <w:b/>
          <w:bCs/>
          <w:color w:val="000000"/>
          <w:sz w:val="22"/>
          <w:lang w:val="en-US"/>
        </w:rPr>
        <w:t>For f</w:t>
      </w:r>
      <w:r w:rsidR="00F16CE4">
        <w:rPr>
          <w:b/>
          <w:bCs/>
          <w:color w:val="000000"/>
          <w:sz w:val="22"/>
          <w:lang w:val="en-US"/>
        </w:rPr>
        <w:t>ailure to provide information, Gazprom</w:t>
      </w:r>
      <w:r w:rsidRPr="00D92A7E">
        <w:rPr>
          <w:b/>
          <w:bCs/>
          <w:color w:val="000000"/>
          <w:sz w:val="22"/>
          <w:lang w:val="en-US"/>
        </w:rPr>
        <w:t xml:space="preserve"> is liable to a fine of EUR 50 million, independent of any consequences that may arise from proceedings concerning a concentration of undertakings without the consent of the President of the Office. </w:t>
      </w:r>
    </w:p>
    <w:p w14:paraId="25C3303D" w14:textId="18A0BF8A" w:rsidR="00184346" w:rsidRPr="00184346" w:rsidRDefault="00714D86" w:rsidP="00184346">
      <w:pPr>
        <w:spacing w:after="240" w:line="360" w:lineRule="auto"/>
        <w:jc w:val="both"/>
        <w:rPr>
          <w:color w:val="000000"/>
          <w:sz w:val="22"/>
          <w:lang w:val="en-GB"/>
        </w:rPr>
      </w:pPr>
      <w:r w:rsidRPr="00D92A7E">
        <w:rPr>
          <w:b/>
          <w:bCs/>
          <w:color w:val="000000"/>
          <w:sz w:val="22"/>
          <w:lang w:val="en-US"/>
        </w:rPr>
        <w:t xml:space="preserve"> [Warsaw, </w:t>
      </w:r>
      <w:r w:rsidR="004C7817">
        <w:rPr>
          <w:b/>
          <w:bCs/>
          <w:color w:val="000000"/>
          <w:sz w:val="22"/>
          <w:lang w:val="en-US"/>
        </w:rPr>
        <w:t xml:space="preserve">3 </w:t>
      </w:r>
      <w:r w:rsidRPr="00D92A7E">
        <w:rPr>
          <w:b/>
          <w:bCs/>
          <w:color w:val="000000"/>
          <w:sz w:val="22"/>
          <w:lang w:val="en-US"/>
        </w:rPr>
        <w:t xml:space="preserve">June 2020] </w:t>
      </w:r>
      <w:r w:rsidR="00F16CE4" w:rsidRPr="00F16CE4">
        <w:rPr>
          <w:bCs/>
          <w:color w:val="000000"/>
          <w:sz w:val="22"/>
          <w:lang w:val="en-US"/>
        </w:rPr>
        <w:t xml:space="preserve">Gazprom’s </w:t>
      </w:r>
      <w:r w:rsidR="00F16CE4" w:rsidRPr="00F16CE4">
        <w:rPr>
          <w:color w:val="000000"/>
          <w:sz w:val="22"/>
          <w:lang w:val="en-US"/>
        </w:rPr>
        <w:t>c</w:t>
      </w:r>
      <w:r w:rsidRPr="00F16CE4">
        <w:rPr>
          <w:color w:val="000000"/>
          <w:sz w:val="22"/>
          <w:lang w:val="en-US"/>
        </w:rPr>
        <w:t>ase</w:t>
      </w:r>
      <w:r w:rsidRPr="00D92A7E">
        <w:rPr>
          <w:color w:val="000000"/>
          <w:sz w:val="22"/>
          <w:lang w:val="en-US"/>
        </w:rPr>
        <w:t xml:space="preserve"> concerns </w:t>
      </w:r>
      <w:hyperlink r:id="rId7" w:history="1">
        <w:r w:rsidRPr="00184346">
          <w:rPr>
            <w:rStyle w:val="Hipercze"/>
            <w:sz w:val="22"/>
            <w:lang w:val="en-US"/>
          </w:rPr>
          <w:t>proceedings co</w:t>
        </w:r>
        <w:r w:rsidR="00F16CE4" w:rsidRPr="00184346">
          <w:rPr>
            <w:rStyle w:val="Hipercze"/>
            <w:sz w:val="22"/>
            <w:lang w:val="en-US"/>
          </w:rPr>
          <w:t>ncerning the construction of Nord Stream 2</w:t>
        </w:r>
      </w:hyperlink>
      <w:r w:rsidRPr="00D92A7E">
        <w:rPr>
          <w:color w:val="000000"/>
          <w:sz w:val="22"/>
          <w:lang w:val="en-US"/>
        </w:rPr>
        <w:t xml:space="preserve">. In 2018, </w:t>
      </w:r>
      <w:proofErr w:type="spellStart"/>
      <w:r w:rsidRPr="00D92A7E">
        <w:rPr>
          <w:color w:val="000000"/>
          <w:sz w:val="22"/>
          <w:lang w:val="en-US"/>
        </w:rPr>
        <w:t>UOKiK</w:t>
      </w:r>
      <w:proofErr w:type="spellEnd"/>
      <w:r w:rsidRPr="00D92A7E">
        <w:rPr>
          <w:color w:val="000000"/>
          <w:sz w:val="22"/>
          <w:lang w:val="en-US"/>
        </w:rPr>
        <w:t xml:space="preserve"> brought charges of financing construction </w:t>
      </w:r>
      <w:r w:rsidR="00184346">
        <w:rPr>
          <w:color w:val="000000"/>
          <w:sz w:val="22"/>
          <w:lang w:val="en-US"/>
        </w:rPr>
        <w:t xml:space="preserve">of the gas pipe line </w:t>
      </w:r>
      <w:r w:rsidRPr="00D92A7E">
        <w:rPr>
          <w:color w:val="000000"/>
          <w:sz w:val="22"/>
          <w:lang w:val="en-US"/>
        </w:rPr>
        <w:t>without a legally required permit against six companies. Those are undertakings which</w:t>
      </w:r>
      <w:r w:rsidR="00184346">
        <w:rPr>
          <w:color w:val="000000"/>
          <w:sz w:val="22"/>
          <w:lang w:val="en-US"/>
        </w:rPr>
        <w:t xml:space="preserve"> belong to international groups</w:t>
      </w:r>
      <w:r w:rsidR="00184346" w:rsidRPr="00184346">
        <w:rPr>
          <w:color w:val="000000"/>
          <w:sz w:val="22"/>
          <w:lang w:val="en-GB"/>
        </w:rPr>
        <w:t xml:space="preserve"> </w:t>
      </w:r>
      <w:r w:rsidR="00184346" w:rsidRPr="00184346">
        <w:rPr>
          <w:color w:val="000000"/>
          <w:sz w:val="22"/>
          <w:lang w:val="en-GB"/>
        </w:rPr>
        <w:t xml:space="preserve">: Gazprom from the Russian Federation, </w:t>
      </w:r>
      <w:proofErr w:type="spellStart"/>
      <w:r w:rsidR="00184346" w:rsidRPr="00184346">
        <w:rPr>
          <w:color w:val="000000"/>
          <w:sz w:val="22"/>
          <w:lang w:val="en-GB"/>
        </w:rPr>
        <w:t>Engie</w:t>
      </w:r>
      <w:proofErr w:type="spellEnd"/>
      <w:r w:rsidR="00184346">
        <w:rPr>
          <w:color w:val="000000"/>
          <w:sz w:val="22"/>
          <w:lang w:val="en-GB"/>
        </w:rPr>
        <w:t xml:space="preserve"> Energy from Switzerland</w:t>
      </w:r>
      <w:r w:rsidR="00184346" w:rsidRPr="00184346">
        <w:rPr>
          <w:color w:val="000000"/>
          <w:sz w:val="22"/>
          <w:lang w:val="en-GB"/>
        </w:rPr>
        <w:t xml:space="preserve">, as well as four companies from the Netherlands:  </w:t>
      </w:r>
      <w:proofErr w:type="spellStart"/>
      <w:r w:rsidR="00184346" w:rsidRPr="00184346">
        <w:rPr>
          <w:color w:val="000000"/>
          <w:sz w:val="22"/>
          <w:lang w:val="en-GB"/>
        </w:rPr>
        <w:t>Uniper</w:t>
      </w:r>
      <w:proofErr w:type="spellEnd"/>
      <w:r w:rsidR="00184346" w:rsidRPr="00184346">
        <w:rPr>
          <w:color w:val="000000"/>
          <w:sz w:val="22"/>
          <w:lang w:val="en-GB"/>
        </w:rPr>
        <w:t xml:space="preserve">, OMV, Shell and </w:t>
      </w:r>
      <w:proofErr w:type="spellStart"/>
      <w:r w:rsidR="00184346" w:rsidRPr="00184346">
        <w:rPr>
          <w:color w:val="000000"/>
          <w:sz w:val="22"/>
          <w:lang w:val="en-GB"/>
        </w:rPr>
        <w:t>Wintershall</w:t>
      </w:r>
      <w:proofErr w:type="spellEnd"/>
      <w:r w:rsidR="00184346" w:rsidRPr="00184346">
        <w:rPr>
          <w:color w:val="000000"/>
          <w:sz w:val="22"/>
          <w:lang w:val="en-GB"/>
        </w:rPr>
        <w:t>.</w:t>
      </w:r>
    </w:p>
    <w:p w14:paraId="403FD63D" w14:textId="4050B094" w:rsidR="00A51F7A" w:rsidRPr="008D2352" w:rsidRDefault="0082091C" w:rsidP="00F14901">
      <w:pPr>
        <w:spacing w:after="240" w:line="360" w:lineRule="auto"/>
        <w:jc w:val="both"/>
        <w:rPr>
          <w:color w:val="000000"/>
          <w:sz w:val="22"/>
          <w:lang w:val="en-US"/>
        </w:rPr>
      </w:pPr>
      <w:bookmarkStart w:id="0" w:name="_GoBack"/>
      <w:bookmarkEnd w:id="0"/>
      <w:r w:rsidRPr="00D92A7E">
        <w:rPr>
          <w:color w:val="000000"/>
          <w:sz w:val="22"/>
          <w:lang w:val="en-US"/>
        </w:rPr>
        <w:t xml:space="preserve">At the beginning of 2020, the President of the Office requested </w:t>
      </w:r>
      <w:r w:rsidR="00F16CE4">
        <w:rPr>
          <w:color w:val="000000"/>
          <w:sz w:val="22"/>
          <w:lang w:val="en-US"/>
        </w:rPr>
        <w:t>Gazprom</w:t>
      </w:r>
      <w:r w:rsidRPr="00D92A7E">
        <w:rPr>
          <w:color w:val="000000"/>
          <w:sz w:val="22"/>
          <w:lang w:val="en-US"/>
        </w:rPr>
        <w:t xml:space="preserve"> to provide documents relevant to the case. The request pertained to contracts concluded between a subsidiary of </w:t>
      </w:r>
      <w:r w:rsidR="00F16CE4">
        <w:rPr>
          <w:color w:val="000000"/>
          <w:sz w:val="22"/>
          <w:lang w:val="en-US"/>
        </w:rPr>
        <w:t>Gazprom</w:t>
      </w:r>
      <w:r w:rsidRPr="00D92A7E">
        <w:rPr>
          <w:color w:val="000000"/>
          <w:sz w:val="22"/>
          <w:lang w:val="en-US"/>
        </w:rPr>
        <w:t xml:space="preserve"> and other companies f</w:t>
      </w:r>
      <w:r w:rsidR="00F16CE4">
        <w:rPr>
          <w:color w:val="000000"/>
          <w:sz w:val="22"/>
          <w:lang w:val="en-US"/>
        </w:rPr>
        <w:t>inancing the construction of Nord Stream 2</w:t>
      </w:r>
      <w:r w:rsidRPr="00D92A7E">
        <w:rPr>
          <w:color w:val="000000"/>
          <w:sz w:val="22"/>
          <w:lang w:val="en-US"/>
        </w:rPr>
        <w:t xml:space="preserve">. These were primarily </w:t>
      </w:r>
      <w:r w:rsidRPr="00D92A7E">
        <w:rPr>
          <w:sz w:val="22"/>
          <w:lang w:val="en-US"/>
        </w:rPr>
        <w:t xml:space="preserve">gaseous fuel transmission, distribution, sale, supply and storage agreements. </w:t>
      </w:r>
      <w:r w:rsidRPr="00D92A7E">
        <w:rPr>
          <w:color w:val="000000"/>
          <w:sz w:val="22"/>
          <w:lang w:val="en-US"/>
        </w:rPr>
        <w:t>Despite the obligation to cooperate with the Office, the company did not provide this information.</w:t>
      </w:r>
    </w:p>
    <w:p w14:paraId="6C0ACBE2" w14:textId="28DE1FF1" w:rsidR="00E26CB9" w:rsidRPr="008D2352" w:rsidRDefault="009E7738" w:rsidP="00F14901">
      <w:pPr>
        <w:spacing w:after="240" w:line="360" w:lineRule="auto"/>
        <w:jc w:val="both"/>
        <w:rPr>
          <w:i/>
          <w:color w:val="000000"/>
          <w:sz w:val="22"/>
          <w:lang w:val="en-US"/>
        </w:rPr>
      </w:pPr>
      <w:r w:rsidRPr="00D92A7E">
        <w:rPr>
          <w:color w:val="000000"/>
          <w:sz w:val="22"/>
          <w:lang w:val="en-US"/>
        </w:rPr>
        <w:t>“</w:t>
      </w:r>
      <w:r w:rsidRPr="00D92A7E">
        <w:rPr>
          <w:i/>
          <w:iCs/>
          <w:color w:val="000000"/>
          <w:sz w:val="22"/>
          <w:lang w:val="en-US"/>
        </w:rPr>
        <w:t>Law is clear and applies</w:t>
      </w:r>
      <w:r w:rsidR="00F16CE4">
        <w:rPr>
          <w:i/>
          <w:iCs/>
          <w:color w:val="000000"/>
          <w:sz w:val="22"/>
          <w:lang w:val="en-US"/>
        </w:rPr>
        <w:t xml:space="preserve"> equally to all of us, however Gazprom</w:t>
      </w:r>
      <w:r w:rsidRPr="00D92A7E">
        <w:rPr>
          <w:i/>
          <w:iCs/>
          <w:color w:val="000000"/>
          <w:sz w:val="22"/>
          <w:lang w:val="en-US"/>
        </w:rPr>
        <w:t xml:space="preserve"> refused to provide documents relevant to our inves</w:t>
      </w:r>
      <w:r w:rsidR="00F16CE4">
        <w:rPr>
          <w:i/>
          <w:iCs/>
          <w:color w:val="000000"/>
          <w:sz w:val="22"/>
          <w:lang w:val="en-US"/>
        </w:rPr>
        <w:t>tigation on several occasions. Gazprom</w:t>
      </w:r>
      <w:r w:rsidRPr="00D92A7E">
        <w:rPr>
          <w:i/>
          <w:iCs/>
          <w:color w:val="000000"/>
          <w:sz w:val="22"/>
          <w:lang w:val="en-US"/>
        </w:rPr>
        <w:t xml:space="preserve"> cannot operate above the law and, for that reason, I have</w:t>
      </w:r>
      <w:r w:rsidR="00F16CE4">
        <w:rPr>
          <w:i/>
          <w:iCs/>
          <w:color w:val="000000"/>
          <w:sz w:val="22"/>
          <w:lang w:val="en-US"/>
        </w:rPr>
        <w:t xml:space="preserve"> initiated proceedings against the company</w:t>
      </w:r>
      <w:r w:rsidRPr="00D92A7E">
        <w:rPr>
          <w:i/>
          <w:iCs/>
          <w:color w:val="000000"/>
          <w:sz w:val="22"/>
          <w:lang w:val="en-US"/>
        </w:rPr>
        <w:t xml:space="preserve"> to impose a fine for failure to provide information during the pending investigation. According to the law, the company is liable to a financial penalty of up to EUR 50 million,</w:t>
      </w:r>
      <w:r w:rsidRPr="00D92A7E">
        <w:rPr>
          <w:color w:val="000000"/>
          <w:sz w:val="22"/>
          <w:lang w:val="en-US"/>
        </w:rPr>
        <w:t xml:space="preserve">” explains Tomasz </w:t>
      </w:r>
      <w:proofErr w:type="spellStart"/>
      <w:r w:rsidRPr="00D92A7E">
        <w:rPr>
          <w:color w:val="000000"/>
          <w:sz w:val="22"/>
          <w:lang w:val="en-US"/>
        </w:rPr>
        <w:t>Chróstny</w:t>
      </w:r>
      <w:proofErr w:type="spellEnd"/>
      <w:r w:rsidRPr="00D92A7E">
        <w:rPr>
          <w:color w:val="000000"/>
          <w:sz w:val="22"/>
          <w:lang w:val="en-US"/>
        </w:rPr>
        <w:t xml:space="preserve">, President of the Office of Competition and Consumer Protection. </w:t>
      </w:r>
    </w:p>
    <w:p w14:paraId="753C8240" w14:textId="77777777" w:rsidR="00F723A2" w:rsidRPr="008D2352" w:rsidRDefault="000E0436" w:rsidP="0081122A">
      <w:pPr>
        <w:spacing w:after="120" w:line="360" w:lineRule="auto"/>
        <w:jc w:val="both"/>
        <w:rPr>
          <w:color w:val="000000"/>
          <w:sz w:val="22"/>
          <w:lang w:val="en-US"/>
        </w:rPr>
      </w:pPr>
      <w:r w:rsidRPr="00D92A7E">
        <w:rPr>
          <w:color w:val="000000"/>
          <w:sz w:val="22"/>
          <w:lang w:val="en-US"/>
        </w:rPr>
        <w:lastRenderedPageBreak/>
        <w:t xml:space="preserve">If a transaction has an impact on the domestic market or a capital group achieves a certain level of turnover on that market – even a foreign undertaking is under an obligation to report the transaction to the national anti-trust authority and respond to its requests. Those obligations are rooted in the provisions of EU law on the Polish Act on Competition and Consumer Protection is based.  </w:t>
      </w:r>
    </w:p>
    <w:p w14:paraId="2D5DD9D9" w14:textId="4742E5EE" w:rsidR="00C75C22" w:rsidRPr="008D2352" w:rsidRDefault="00F16CE4" w:rsidP="00A51F7A">
      <w:pPr>
        <w:spacing w:after="240" w:line="360" w:lineRule="auto"/>
        <w:jc w:val="both"/>
        <w:rPr>
          <w:b/>
          <w:color w:val="000000"/>
          <w:sz w:val="22"/>
          <w:lang w:val="en-US"/>
        </w:rPr>
      </w:pPr>
      <w:r>
        <w:rPr>
          <w:b/>
          <w:bCs/>
          <w:color w:val="000000"/>
          <w:sz w:val="22"/>
          <w:lang w:val="en-US"/>
        </w:rPr>
        <w:t xml:space="preserve">Fine imposed on </w:t>
      </w:r>
      <w:proofErr w:type="spellStart"/>
      <w:r>
        <w:rPr>
          <w:b/>
          <w:bCs/>
          <w:color w:val="000000"/>
          <w:sz w:val="22"/>
          <w:lang w:val="en-US"/>
        </w:rPr>
        <w:t>Engie</w:t>
      </w:r>
      <w:proofErr w:type="spellEnd"/>
      <w:r>
        <w:rPr>
          <w:b/>
          <w:bCs/>
          <w:color w:val="000000"/>
          <w:sz w:val="22"/>
          <w:lang w:val="en-US"/>
        </w:rPr>
        <w:t xml:space="preserve"> Energy</w:t>
      </w:r>
      <w:r w:rsidR="00C75C22" w:rsidRPr="00D92A7E">
        <w:rPr>
          <w:b/>
          <w:bCs/>
          <w:color w:val="000000"/>
          <w:sz w:val="22"/>
          <w:lang w:val="en-US"/>
        </w:rPr>
        <w:t xml:space="preserve"> in 2019 </w:t>
      </w:r>
    </w:p>
    <w:p w14:paraId="047B1268" w14:textId="4030E64C" w:rsidR="00995C7F" w:rsidRPr="008D2352" w:rsidRDefault="00F16CE4" w:rsidP="00F14901">
      <w:pPr>
        <w:spacing w:after="240" w:line="360" w:lineRule="auto"/>
        <w:jc w:val="both"/>
        <w:rPr>
          <w:color w:val="000000"/>
          <w:sz w:val="22"/>
          <w:lang w:val="en-US"/>
        </w:rPr>
      </w:pPr>
      <w:r>
        <w:rPr>
          <w:color w:val="000000"/>
          <w:sz w:val="22"/>
          <w:lang w:val="en-US"/>
        </w:rPr>
        <w:t>Gazprom</w:t>
      </w:r>
      <w:r w:rsidR="00E91277" w:rsidRPr="00D92A7E">
        <w:rPr>
          <w:color w:val="000000"/>
          <w:sz w:val="22"/>
          <w:lang w:val="en-US"/>
        </w:rPr>
        <w:t xml:space="preserve"> is another company which refused to cooperate with the Office in the course of proceedings regarding the unlawful establis</w:t>
      </w:r>
      <w:r>
        <w:rPr>
          <w:color w:val="000000"/>
          <w:sz w:val="22"/>
          <w:lang w:val="en-US"/>
        </w:rPr>
        <w:t>hment of a company financing Nord Stream 2</w:t>
      </w:r>
      <w:r w:rsidR="00E91277" w:rsidRPr="00D92A7E">
        <w:rPr>
          <w:color w:val="000000"/>
          <w:sz w:val="22"/>
          <w:lang w:val="en-US"/>
        </w:rPr>
        <w:t xml:space="preserve">. </w:t>
      </w:r>
      <w:hyperlink r:id="rId8" w:history="1">
        <w:r w:rsidR="00E91277" w:rsidRPr="00184346">
          <w:rPr>
            <w:rStyle w:val="Hipercze"/>
            <w:sz w:val="22"/>
            <w:lang w:val="en-US"/>
          </w:rPr>
          <w:t>Last year, a PLN 1</w:t>
        </w:r>
        <w:r w:rsidRPr="00184346">
          <w:rPr>
            <w:rStyle w:val="Hipercze"/>
            <w:sz w:val="22"/>
            <w:lang w:val="en-US"/>
          </w:rPr>
          <w:t xml:space="preserve">72 million fine was imposed on </w:t>
        </w:r>
        <w:proofErr w:type="spellStart"/>
        <w:r w:rsidRPr="00184346">
          <w:rPr>
            <w:rStyle w:val="Hipercze"/>
            <w:sz w:val="22"/>
            <w:lang w:val="en-US"/>
          </w:rPr>
          <w:t>Engie</w:t>
        </w:r>
        <w:proofErr w:type="spellEnd"/>
        <w:r w:rsidRPr="00184346">
          <w:rPr>
            <w:rStyle w:val="Hipercze"/>
            <w:sz w:val="22"/>
            <w:lang w:val="en-US"/>
          </w:rPr>
          <w:t xml:space="preserve"> Energy</w:t>
        </w:r>
      </w:hyperlink>
      <w:r w:rsidR="00E91277" w:rsidRPr="00D92A7E">
        <w:rPr>
          <w:color w:val="000000"/>
          <w:sz w:val="22"/>
          <w:lang w:val="en-US"/>
        </w:rPr>
        <w:t>, as it failed to provide the Office</w:t>
      </w:r>
      <w:r w:rsidR="00E91277" w:rsidRPr="00D92A7E">
        <w:rPr>
          <w:color w:val="000000" w:themeColor="text1"/>
          <w:sz w:val="22"/>
          <w:lang w:val="en-US"/>
        </w:rPr>
        <w:t xml:space="preserve"> </w:t>
      </w:r>
      <w:r w:rsidR="00E91277" w:rsidRPr="00D92A7E">
        <w:rPr>
          <w:rStyle w:val="Uwydatnienie"/>
          <w:rFonts w:cs="Tahoma"/>
          <w:i w:val="0"/>
          <w:iCs w:val="0"/>
          <w:color w:val="000000" w:themeColor="text1"/>
          <w:sz w:val="22"/>
          <w:shd w:val="clear" w:color="auto" w:fill="FFFFFF"/>
          <w:lang w:val="en-US"/>
        </w:rPr>
        <w:t>information</w:t>
      </w:r>
      <w:r w:rsidR="008D2352" w:rsidRPr="00D92A7E">
        <w:rPr>
          <w:rStyle w:val="Uwydatnienie"/>
          <w:rFonts w:cs="Tahoma"/>
          <w:i w:val="0"/>
          <w:iCs w:val="0"/>
          <w:color w:val="000000" w:themeColor="text1"/>
          <w:sz w:val="22"/>
          <w:shd w:val="clear" w:color="auto" w:fill="FFFFFF"/>
          <w:lang w:val="en-US"/>
        </w:rPr>
        <w:t xml:space="preserve"> regarding gaseous fuels, includ</w:t>
      </w:r>
      <w:r w:rsidR="00E91277" w:rsidRPr="00D92A7E">
        <w:rPr>
          <w:rStyle w:val="Uwydatnienie"/>
          <w:rFonts w:cs="Tahoma"/>
          <w:i w:val="0"/>
          <w:iCs w:val="0"/>
          <w:color w:val="000000" w:themeColor="text1"/>
          <w:sz w:val="22"/>
          <w:shd w:val="clear" w:color="auto" w:fill="FFFFFF"/>
          <w:lang w:val="en-US"/>
        </w:rPr>
        <w:t>ing transmission, distribution, sale, deliver and storage agreements.</w:t>
      </w:r>
    </w:p>
    <w:p w14:paraId="007DD895" w14:textId="77777777" w:rsidR="009823CB" w:rsidRPr="008D2352" w:rsidRDefault="00D968F5" w:rsidP="00F14901">
      <w:pPr>
        <w:spacing w:after="240" w:line="360" w:lineRule="auto"/>
        <w:jc w:val="both"/>
        <w:rPr>
          <w:color w:val="000000"/>
          <w:sz w:val="22"/>
          <w:lang w:val="en-US"/>
        </w:rPr>
      </w:pPr>
      <w:r w:rsidRPr="00D92A7E">
        <w:rPr>
          <w:color w:val="000000"/>
          <w:sz w:val="22"/>
          <w:lang w:val="en-US"/>
        </w:rPr>
        <w:t>“</w:t>
      </w:r>
      <w:r w:rsidRPr="00D92A7E">
        <w:rPr>
          <w:i/>
          <w:iCs/>
          <w:color w:val="000000"/>
          <w:sz w:val="22"/>
          <w:lang w:val="en-US"/>
        </w:rPr>
        <w:t>It is particularly reprehensible that large, international corporations do not comply with the applicable laws. If the lack of cooperation was intended to slow down the Office in its investigation, I can say that the companies did not achieve their goal. We already have adequate evidence and are nearing the end of our investigation in the case concerning concentration without approval</w:t>
      </w:r>
      <w:r w:rsidRPr="00D92A7E">
        <w:rPr>
          <w:color w:val="000000"/>
          <w:sz w:val="22"/>
          <w:lang w:val="en-US"/>
        </w:rPr>
        <w:t xml:space="preserve">,” says Tomasz </w:t>
      </w:r>
      <w:proofErr w:type="spellStart"/>
      <w:r w:rsidRPr="00D92A7E">
        <w:rPr>
          <w:color w:val="000000"/>
          <w:sz w:val="22"/>
          <w:lang w:val="en-US"/>
        </w:rPr>
        <w:t>Chróstny</w:t>
      </w:r>
      <w:proofErr w:type="spellEnd"/>
      <w:r w:rsidRPr="00D92A7E">
        <w:rPr>
          <w:color w:val="000000"/>
          <w:sz w:val="22"/>
          <w:lang w:val="en-US"/>
        </w:rPr>
        <w:t xml:space="preserve">, President of the Office. </w:t>
      </w:r>
    </w:p>
    <w:p w14:paraId="76EA7377" w14:textId="1B24B76F" w:rsidR="005A0B11" w:rsidRPr="008D2352" w:rsidRDefault="00F16CE4" w:rsidP="00F14901">
      <w:pPr>
        <w:spacing w:after="240" w:line="360" w:lineRule="auto"/>
        <w:jc w:val="both"/>
        <w:rPr>
          <w:b/>
          <w:color w:val="000000" w:themeColor="text1"/>
          <w:sz w:val="22"/>
          <w:lang w:val="en-US"/>
        </w:rPr>
      </w:pPr>
      <w:r>
        <w:rPr>
          <w:b/>
          <w:bCs/>
          <w:color w:val="000000" w:themeColor="text1"/>
          <w:sz w:val="22"/>
          <w:lang w:val="en-US"/>
        </w:rPr>
        <w:t>Nord Stream 2</w:t>
      </w:r>
      <w:r w:rsidR="005A0B11" w:rsidRPr="00D92A7E">
        <w:rPr>
          <w:b/>
          <w:bCs/>
          <w:color w:val="000000" w:themeColor="text1"/>
          <w:sz w:val="22"/>
          <w:lang w:val="en-US"/>
        </w:rPr>
        <w:t xml:space="preserve"> case in th</w:t>
      </w:r>
      <w:r>
        <w:rPr>
          <w:b/>
          <w:bCs/>
          <w:color w:val="000000" w:themeColor="text1"/>
          <w:sz w:val="22"/>
          <w:lang w:val="en-US"/>
        </w:rPr>
        <w:t>e</w:t>
      </w:r>
      <w:r w:rsidR="005A0B11" w:rsidRPr="00D92A7E">
        <w:rPr>
          <w:b/>
          <w:bCs/>
          <w:color w:val="000000" w:themeColor="text1"/>
          <w:sz w:val="22"/>
          <w:lang w:val="en-US"/>
        </w:rPr>
        <w:t xml:space="preserve"> Office of Competition and Consumer Protection – the story of an anti-trust investigation</w:t>
      </w:r>
    </w:p>
    <w:p w14:paraId="1B5C83EF" w14:textId="016619E4" w:rsidR="005A0B11" w:rsidRPr="008D2352" w:rsidRDefault="005A0B11" w:rsidP="00F14901">
      <w:pPr>
        <w:spacing w:after="240" w:line="360" w:lineRule="auto"/>
        <w:jc w:val="both"/>
        <w:rPr>
          <w:rStyle w:val="Pogrubienie"/>
          <w:rFonts w:cs="Tahoma"/>
          <w:b w:val="0"/>
          <w:color w:val="000000" w:themeColor="text1"/>
          <w:sz w:val="22"/>
          <w:shd w:val="clear" w:color="auto" w:fill="FFFFFF"/>
          <w:lang w:val="en-US"/>
        </w:rPr>
      </w:pPr>
      <w:r w:rsidRPr="00D92A7E">
        <w:rPr>
          <w:color w:val="000000" w:themeColor="text1"/>
          <w:sz w:val="22"/>
          <w:lang w:val="en-US"/>
        </w:rPr>
        <w:t xml:space="preserve">In 2015, the Office received an application filed by six companies for approval to create a joint venture </w:t>
      </w:r>
      <w:r w:rsidRPr="00D92A7E">
        <w:rPr>
          <w:rStyle w:val="Pogrubienie"/>
          <w:rFonts w:cs="Tahoma"/>
          <w:b w:val="0"/>
          <w:bCs w:val="0"/>
          <w:color w:val="000000" w:themeColor="text1"/>
          <w:sz w:val="22"/>
          <w:shd w:val="clear" w:color="auto" w:fill="FFFFFF"/>
          <w:lang w:val="en-US"/>
        </w:rPr>
        <w:t>responsible for the c</w:t>
      </w:r>
      <w:r w:rsidR="00F16CE4">
        <w:rPr>
          <w:rStyle w:val="Pogrubienie"/>
          <w:rFonts w:cs="Tahoma"/>
          <w:b w:val="0"/>
          <w:bCs w:val="0"/>
          <w:color w:val="000000" w:themeColor="text1"/>
          <w:sz w:val="22"/>
          <w:shd w:val="clear" w:color="auto" w:fill="FFFFFF"/>
          <w:lang w:val="en-US"/>
        </w:rPr>
        <w:t>onstruction and operation of Nord Stream 2</w:t>
      </w:r>
      <w:r w:rsidRPr="00D92A7E">
        <w:rPr>
          <w:rStyle w:val="Pogrubienie"/>
          <w:rFonts w:cs="Tahoma"/>
          <w:b w:val="0"/>
          <w:bCs w:val="0"/>
          <w:color w:val="000000" w:themeColor="text1"/>
          <w:sz w:val="22"/>
          <w:shd w:val="clear" w:color="auto" w:fill="FFFFFF"/>
          <w:lang w:val="en-US"/>
        </w:rPr>
        <w:t>. In 2016, the Office voiced its concerns regarding the concentration,</w:t>
      </w:r>
      <w:r w:rsidRPr="00D92A7E">
        <w:rPr>
          <w:color w:val="000000" w:themeColor="text1"/>
          <w:sz w:val="22"/>
          <w:lang w:val="en-US"/>
        </w:rPr>
        <w:t xml:space="preserve"> in which it noted that the planned transaction </w:t>
      </w:r>
      <w:hyperlink r:id="rId9" w:history="1">
        <w:r w:rsidRPr="00184346">
          <w:rPr>
            <w:rStyle w:val="Hipercze"/>
            <w:sz w:val="22"/>
            <w:lang w:val="en-US"/>
          </w:rPr>
          <w:t>could lead to the restriction of competition and presented its reservations</w:t>
        </w:r>
      </w:hyperlink>
      <w:r w:rsidR="00184346">
        <w:rPr>
          <w:rStyle w:val="Hipercze"/>
          <w:color w:val="000000" w:themeColor="text1"/>
          <w:sz w:val="22"/>
          <w:lang w:val="en-US"/>
        </w:rPr>
        <w:t xml:space="preserve"> </w:t>
      </w:r>
      <w:r w:rsidRPr="00D92A7E">
        <w:rPr>
          <w:rStyle w:val="Hipercze"/>
          <w:color w:val="000000" w:themeColor="text1"/>
          <w:sz w:val="22"/>
          <w:u w:val="none"/>
          <w:lang w:val="en-US"/>
        </w:rPr>
        <w:t>.</w:t>
      </w:r>
      <w:r w:rsidRPr="00D92A7E">
        <w:rPr>
          <w:color w:val="000000" w:themeColor="text1"/>
          <w:sz w:val="22"/>
          <w:lang w:val="en-US"/>
        </w:rPr>
        <w:t xml:space="preserve"> The companies withdrew their application, which in practice meant that they were </w:t>
      </w:r>
      <w:hyperlink r:id="rId10" w:history="1">
        <w:r w:rsidRPr="00D92A7E">
          <w:rPr>
            <w:rStyle w:val="Hipercze"/>
            <w:color w:val="000000" w:themeColor="text1"/>
            <w:sz w:val="22"/>
            <w:lang w:val="en-US"/>
          </w:rPr>
          <w:t>prohibited to perform a merger</w:t>
        </w:r>
        <w:r w:rsidRPr="00D92A7E">
          <w:rPr>
            <w:rStyle w:val="Hipercze"/>
            <w:color w:val="000000" w:themeColor="text1"/>
            <w:sz w:val="22"/>
            <w:u w:val="none"/>
            <w:lang w:val="en-US"/>
          </w:rPr>
          <w:t>.</w:t>
        </w:r>
      </w:hyperlink>
      <w:r w:rsidRPr="00D92A7E">
        <w:rPr>
          <w:rStyle w:val="Pogrubienie"/>
          <w:rFonts w:cs="Tahoma"/>
          <w:b w:val="0"/>
          <w:bCs w:val="0"/>
          <w:color w:val="000000" w:themeColor="text1"/>
          <w:sz w:val="22"/>
          <w:shd w:val="clear" w:color="auto" w:fill="FFFFFF"/>
          <w:lang w:val="en-US"/>
        </w:rPr>
        <w:t xml:space="preserve"> Meanwhile, not long after information that the would-be parties to the transaction have signed an investment financing agreement started to appear in the media. </w:t>
      </w:r>
      <w:r w:rsidR="00F16CE4">
        <w:rPr>
          <w:rStyle w:val="Pogrubienie"/>
          <w:rFonts w:cs="Tahoma"/>
          <w:b w:val="0"/>
          <w:bCs w:val="0"/>
          <w:color w:val="000000" w:themeColor="text1"/>
          <w:sz w:val="22"/>
          <w:shd w:val="clear" w:color="auto" w:fill="FFFFFF"/>
          <w:lang w:val="en-US"/>
        </w:rPr>
        <w:t xml:space="preserve">Therefore, </w:t>
      </w:r>
      <w:hyperlink r:id="rId11" w:history="1">
        <w:r w:rsidR="00F16CE4" w:rsidRPr="00184346">
          <w:rPr>
            <w:rStyle w:val="Hipercze"/>
            <w:rFonts w:cs="Tahoma"/>
            <w:sz w:val="22"/>
            <w:shd w:val="clear" w:color="auto" w:fill="FFFFFF"/>
            <w:lang w:val="en-US"/>
          </w:rPr>
          <w:t>proceedings against Gazprom</w:t>
        </w:r>
        <w:r w:rsidRPr="00184346">
          <w:rPr>
            <w:rStyle w:val="Hipercze"/>
            <w:rFonts w:cs="Tahoma"/>
            <w:sz w:val="22"/>
            <w:shd w:val="clear" w:color="auto" w:fill="FFFFFF"/>
            <w:lang w:val="en-US"/>
          </w:rPr>
          <w:t xml:space="preserve"> and its fiv</w:t>
        </w:r>
        <w:r w:rsidRPr="00184346">
          <w:rPr>
            <w:rStyle w:val="Hipercze"/>
            <w:rFonts w:cs="Tahoma"/>
            <w:sz w:val="22"/>
            <w:shd w:val="clear" w:color="auto" w:fill="FFFFFF"/>
            <w:lang w:val="en-US"/>
          </w:rPr>
          <w:t>e</w:t>
        </w:r>
        <w:r w:rsidRPr="00184346">
          <w:rPr>
            <w:rStyle w:val="Hipercze"/>
            <w:rFonts w:cs="Tahoma"/>
            <w:sz w:val="22"/>
            <w:shd w:val="clear" w:color="auto" w:fill="FFFFFF"/>
            <w:lang w:val="en-US"/>
          </w:rPr>
          <w:t xml:space="preserve"> trading partners</w:t>
        </w:r>
      </w:hyperlink>
      <w:r w:rsidRPr="00D92A7E">
        <w:rPr>
          <w:rStyle w:val="Pogrubienie"/>
          <w:rFonts w:cs="Tahoma"/>
          <w:b w:val="0"/>
          <w:bCs w:val="0"/>
          <w:color w:val="000000" w:themeColor="text1"/>
          <w:sz w:val="22"/>
          <w:shd w:val="clear" w:color="auto" w:fill="FFFFFF"/>
          <w:lang w:val="en-US"/>
        </w:rPr>
        <w:t xml:space="preserve"> regarding the execution fo</w:t>
      </w:r>
      <w:r w:rsidR="00F16CE4">
        <w:rPr>
          <w:rStyle w:val="Pogrubienie"/>
          <w:rFonts w:cs="Tahoma"/>
          <w:b w:val="0"/>
          <w:bCs w:val="0"/>
          <w:color w:val="000000" w:themeColor="text1"/>
          <w:sz w:val="22"/>
          <w:shd w:val="clear" w:color="auto" w:fill="FFFFFF"/>
          <w:lang w:val="en-US"/>
        </w:rPr>
        <w:t>r</w:t>
      </w:r>
      <w:r w:rsidRPr="00D92A7E">
        <w:rPr>
          <w:rStyle w:val="Pogrubienie"/>
          <w:rFonts w:cs="Tahoma"/>
          <w:b w:val="0"/>
          <w:bCs w:val="0"/>
          <w:color w:val="000000" w:themeColor="text1"/>
          <w:sz w:val="22"/>
          <w:shd w:val="clear" w:color="auto" w:fill="FFFFFF"/>
          <w:lang w:val="en-US"/>
        </w:rPr>
        <w:t xml:space="preserve"> a transaction without obtaining approval from the Office of Competition and Consumer Protection were initiated. </w:t>
      </w:r>
    </w:p>
    <w:p w14:paraId="473E35D3" w14:textId="77777777" w:rsidR="00B73F22" w:rsidRPr="008D2352" w:rsidRDefault="008C06AD" w:rsidP="005A3BA7">
      <w:pPr>
        <w:spacing w:after="240" w:line="360" w:lineRule="auto"/>
        <w:jc w:val="both"/>
        <w:rPr>
          <w:color w:val="000000" w:themeColor="text1"/>
          <w:sz w:val="22"/>
          <w:lang w:val="en-US"/>
        </w:rPr>
      </w:pPr>
      <w:r w:rsidRPr="00D92A7E">
        <w:rPr>
          <w:rFonts w:cs="Tahoma"/>
          <w:color w:val="000000" w:themeColor="text1"/>
          <w:sz w:val="22"/>
          <w:shd w:val="clear" w:color="auto" w:fill="FFFFFF"/>
          <w:lang w:val="en-US"/>
        </w:rPr>
        <w:lastRenderedPageBreak/>
        <w:t>For violating the prohibition against concentration without obtaining approval from the Office of Competition and Consumer Protection, the companies are liable to a fine equal of up to 10 percent of their annual turnover. In addition, if the concentration was implemented and it is no longer possible to restore competition on the market, the President of the Office may order the total or partial disposal of the company’s assets and shares granting control over the company, and even the dissolution of the company over which the companies concerned hold control.</w:t>
      </w:r>
    </w:p>
    <w:sectPr w:rsidR="00B73F22" w:rsidRPr="008D2352" w:rsidSect="008D527A">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2127" w:left="1417" w:header="708"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16BEA" w14:textId="77777777" w:rsidR="00090A52" w:rsidRDefault="00090A52">
      <w:r>
        <w:separator/>
      </w:r>
    </w:p>
  </w:endnote>
  <w:endnote w:type="continuationSeparator" w:id="0">
    <w:p w14:paraId="54FBFB3F" w14:textId="77777777" w:rsidR="00090A52" w:rsidRDefault="0009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Semibold">
    <w:altName w:val="Arial"/>
    <w:panose1 w:val="020B0702040204020203"/>
    <w:charset w:val="00"/>
    <w:family w:val="swiss"/>
    <w:pitch w:val="variable"/>
    <w:sig w:usb0="E4002EFF" w:usb1="C000E47F" w:usb2="00000009" w:usb3="00000000" w:csb0="000001FF" w:csb1="00000000"/>
  </w:font>
  <w:font w:name="Segoe UI Black">
    <w:altName w:val="Segoe UI"/>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1972F" w14:textId="77777777" w:rsidR="008769E7" w:rsidRDefault="008769E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1E011" w14:textId="7F61C496" w:rsidR="0059016B" w:rsidRPr="008D2352" w:rsidRDefault="005A3BA7" w:rsidP="008D527A">
    <w:pPr>
      <w:pStyle w:val="Stopka"/>
      <w:rPr>
        <w:rFonts w:ascii="Segoe UI Semibold" w:hAnsi="Segoe UI Semibold" w:cs="Segoe UI Semibold"/>
        <w:color w:val="595959" w:themeColor="text1" w:themeTint="A6"/>
        <w:sz w:val="16"/>
        <w:szCs w:val="16"/>
        <w:lang w:val="en-US"/>
      </w:rPr>
    </w:pPr>
    <w:r>
      <w:rPr>
        <w:noProof/>
        <w:lang w:val="en-GB" w:eastAsia="en-GB"/>
      </w:rPr>
      <w:drawing>
        <wp:anchor distT="0" distB="0" distL="114300" distR="114300" simplePos="0" relativeHeight="251659264" behindDoc="1" locked="0" layoutInCell="1" allowOverlap="1" wp14:anchorId="46A9B26A" wp14:editId="772E5B05">
          <wp:simplePos x="0" y="0"/>
          <wp:positionH relativeFrom="column">
            <wp:posOffset>5062855</wp:posOffset>
          </wp:positionH>
          <wp:positionV relativeFrom="paragraph">
            <wp:posOffset>-169545</wp:posOffset>
          </wp:positionV>
          <wp:extent cx="695325" cy="695325"/>
          <wp:effectExtent l="0" t="0" r="9525" b="9525"/>
          <wp:wrapNone/>
          <wp:docPr id="1" name="Obraz 1"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anchor>
      </w:drawing>
    </w:r>
    <w:r w:rsidR="004C7817">
      <w:rPr>
        <w:noProof/>
        <w:color w:val="595959" w:themeColor="text1" w:themeTint="A6"/>
        <w:sz w:val="16"/>
        <w:szCs w:val="16"/>
        <w:lang w:val="en-GB" w:eastAsia="en-GB"/>
      </w:rPr>
      <mc:AlternateContent>
        <mc:Choice Requires="wps">
          <w:drawing>
            <wp:anchor distT="45720" distB="45720" distL="114300" distR="114300" simplePos="0" relativeHeight="251658240" behindDoc="1" locked="0" layoutInCell="1" allowOverlap="1" wp14:anchorId="4866B684" wp14:editId="1DA288AB">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472D868D"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PRESS</w:t>
                          </w:r>
                          <w:r>
                            <w:rPr>
                              <w:rFonts w:ascii="Segoe UI Black" w:hAnsi="Segoe UI Black"/>
                              <w:color w:val="C77D4C"/>
                              <w:sz w:val="28"/>
                              <w:szCs w:val="28"/>
                            </w:rPr>
                            <w:br/>
                            <w:t>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6B684"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14:paraId="472D868D"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PRESS</w:t>
                    </w:r>
                    <w:r>
                      <w:rPr>
                        <w:rFonts w:ascii="Segoe UI Black" w:hAnsi="Segoe UI Black"/>
                        <w:color w:val="C77D4C"/>
                        <w:sz w:val="28"/>
                        <w:szCs w:val="28"/>
                      </w:rPr>
                      <w:br/>
                      <w:t>RELEASE</w:t>
                    </w:r>
                  </w:p>
                </w:txbxContent>
              </v:textbox>
              <w10:wrap anchorx="margin"/>
            </v:shape>
          </w:pict>
        </mc:Fallback>
      </mc:AlternateContent>
    </w:r>
    <w:r w:rsidR="004C7817">
      <w:rPr>
        <w:noProof/>
        <w:color w:val="595959" w:themeColor="text1" w:themeTint="A6"/>
        <w:lang w:val="en-GB" w:eastAsia="en-GB"/>
      </w:rPr>
      <mc:AlternateContent>
        <mc:Choice Requires="wps">
          <w:drawing>
            <wp:anchor distT="4294967294" distB="4294967294" distL="114300" distR="114300" simplePos="0" relativeHeight="251657216" behindDoc="0" locked="0" layoutInCell="1" allowOverlap="1" wp14:anchorId="2774CEC8" wp14:editId="71F3855A">
              <wp:simplePos x="0" y="0"/>
              <wp:positionH relativeFrom="margin">
                <wp:align>left</wp:align>
              </wp:positionH>
              <wp:positionV relativeFrom="paragraph">
                <wp:posOffset>-78741</wp:posOffset>
              </wp:positionV>
              <wp:extent cx="3524250" cy="0"/>
              <wp:effectExtent l="0" t="0" r="19050" b="1905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86C92" id="Łącznik prosty 9"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" strokecolor="#5a5a5a [2109]" strokeweight=".5pt">
              <v:stroke joinstyle="miter"/>
              <o:lock v:ext="edit" shapetype="f"/>
              <w10:wrap anchorx="margin"/>
            </v:line>
          </w:pict>
        </mc:Fallback>
      </mc:AlternateContent>
    </w:r>
    <w:r w:rsidRPr="00D92A7E">
      <w:rPr>
        <w:rFonts w:ascii="Segoe UI Semibold" w:hAnsi="Segoe UI Semibold"/>
        <w:color w:val="595959" w:themeColor="text1" w:themeTint="A6"/>
        <w:sz w:val="16"/>
        <w:szCs w:val="16"/>
        <w:lang w:val="en-US"/>
      </w:rPr>
      <w:t>WWW.UOKiK.GOV.PL   TEL: +48 22 55 60 246    MOBILE: 695 902 088</w:t>
    </w:r>
  </w:p>
  <w:p w14:paraId="702D9BE7" w14:textId="77777777" w:rsidR="0059016B" w:rsidRPr="00A53423"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rPr>
    </w:pPr>
    <w:proofErr w:type="spellStart"/>
    <w:r>
      <w:rPr>
        <w:rFonts w:ascii="Segoe UI Semibold" w:hAnsi="Segoe UI Semibold" w:cs="Segoe UI Semibold"/>
        <w:color w:val="595959" w:themeColor="text1" w:themeTint="A6"/>
        <w:sz w:val="16"/>
        <w:szCs w:val="16"/>
      </w:rPr>
      <w:t>UOKiK</w:t>
    </w:r>
    <w:proofErr w:type="spellEnd"/>
    <w:r>
      <w:rPr>
        <w:rFonts w:ascii="Segoe UI Semibold" w:hAnsi="Segoe UI Semibold" w:cs="Segoe UI Semibold"/>
        <w:color w:val="595959" w:themeColor="text1" w:themeTint="A6"/>
        <w:sz w:val="16"/>
        <w:szCs w:val="16"/>
      </w:rPr>
      <w:t xml:space="preserve"> Press Office Pl. </w:t>
    </w:r>
    <w:proofErr w:type="spellStart"/>
    <w:r>
      <w:rPr>
        <w:rFonts w:ascii="Segoe UI Semibold" w:hAnsi="Segoe UI Semibold" w:cs="Segoe UI Semibold"/>
        <w:color w:val="595959" w:themeColor="text1" w:themeTint="A6"/>
        <w:sz w:val="16"/>
        <w:szCs w:val="16"/>
      </w:rPr>
      <w:t>Powstańców</w:t>
    </w:r>
    <w:proofErr w:type="spellEnd"/>
    <w:r>
      <w:rPr>
        <w:rFonts w:ascii="Segoe UI Semibold" w:hAnsi="Segoe UI Semibold" w:cs="Segoe UI Semibold"/>
        <w:color w:val="595959" w:themeColor="text1" w:themeTint="A6"/>
        <w:sz w:val="16"/>
        <w:szCs w:val="16"/>
      </w:rPr>
      <w:t xml:space="preserve"> </w:t>
    </w:r>
    <w:proofErr w:type="spellStart"/>
    <w:r>
      <w:rPr>
        <w:rFonts w:ascii="Segoe UI Semibold" w:hAnsi="Segoe UI Semibold" w:cs="Segoe UI Semibold"/>
        <w:color w:val="595959" w:themeColor="text1" w:themeTint="A6"/>
        <w:sz w:val="16"/>
        <w:szCs w:val="16"/>
      </w:rPr>
      <w:t>Warszawy</w:t>
    </w:r>
    <w:proofErr w:type="spellEnd"/>
    <w:r>
      <w:rPr>
        <w:rFonts w:ascii="Segoe UI Semibold" w:hAnsi="Segoe UI Semibold" w:cs="Segoe UI Semibold"/>
        <w:color w:val="595959" w:themeColor="text1" w:themeTint="A6"/>
        <w:sz w:val="16"/>
        <w:szCs w:val="16"/>
      </w:rPr>
      <w:t xml:space="preserve"> 1, 00-950 Warsaw </w:t>
    </w:r>
    <w:r>
      <w:rPr>
        <w:rFonts w:ascii="Segoe UI Semibold" w:hAnsi="Segoe UI Semibold" w:cs="Segoe UI Semibold"/>
        <w:color w:val="595959" w:themeColor="text1" w:themeTint="A6"/>
        <w:sz w:val="16"/>
        <w:szCs w:val="16"/>
      </w:rPr>
      <w:br/>
      <w:t xml:space="preserve">E-mail: </w:t>
    </w:r>
    <w:hyperlink r:id="rId2" w:history="1">
      <w:r>
        <w:rPr>
          <w:rStyle w:val="Hipercze"/>
          <w:rFonts w:ascii="Segoe UI Semibold" w:hAnsi="Segoe UI Semibold" w:cs="Segoe UI Semibold"/>
          <w:color w:val="595959" w:themeColor="text1" w:themeTint="A6"/>
          <w:sz w:val="16"/>
          <w:szCs w:val="16"/>
        </w:rPr>
        <w:t>biuroprasowe@uokik.gov.pl</w:t>
      </w:r>
    </w:hyperlink>
    <w:r>
      <w:rPr>
        <w:rFonts w:ascii="Segoe UI Semibold" w:hAnsi="Segoe UI Semibold" w:cs="Segoe UI Semibold"/>
        <w:color w:val="595959" w:themeColor="text1" w:themeTint="A6"/>
        <w:sz w:val="16"/>
        <w:szCs w:val="16"/>
      </w:rPr>
      <w:t xml:space="preserve"> Twitter: </w:t>
    </w:r>
    <w:hyperlink r:id="rId3" w:history="1">
      <w:r>
        <w:rPr>
          <w:rStyle w:val="Hipercze"/>
          <w:rFonts w:ascii="Segoe UI Semibold" w:hAnsi="Segoe UI Semibold" w:cs="Segoe UI Semibold"/>
          <w:color w:val="595959" w:themeColor="text1" w:themeTint="A6"/>
          <w:sz w:val="16"/>
          <w:szCs w:val="16"/>
        </w:rPr>
        <w:t>@</w:t>
      </w:r>
      <w:proofErr w:type="spellStart"/>
      <w:r>
        <w:rPr>
          <w:rStyle w:val="u-linkcomplex-target"/>
          <w:rFonts w:ascii="Segoe UI Semibold" w:hAnsi="Segoe UI Semibold" w:cs="Segoe UI Semibold"/>
          <w:color w:val="595959" w:themeColor="text1" w:themeTint="A6"/>
          <w:sz w:val="16"/>
          <w:szCs w:val="16"/>
          <w:u w:val="single"/>
        </w:rPr>
        <w:t>UOKiKgovPL</w:t>
      </w:r>
      <w:proofErr w:type="spellEnd"/>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5C6BD" w14:textId="77777777" w:rsidR="008769E7" w:rsidRDefault="008769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25003" w14:textId="77777777" w:rsidR="00090A52" w:rsidRDefault="00090A52">
      <w:r>
        <w:separator/>
      </w:r>
    </w:p>
  </w:footnote>
  <w:footnote w:type="continuationSeparator" w:id="0">
    <w:p w14:paraId="5B156FC7" w14:textId="77777777" w:rsidR="00090A52" w:rsidRDefault="00090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47EC0" w14:textId="77777777" w:rsidR="008769E7" w:rsidRDefault="008769E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7B8CB" w14:textId="77777777" w:rsidR="0059016B" w:rsidRDefault="00C21071" w:rsidP="0041396E">
    <w:pPr>
      <w:pStyle w:val="Nagwek"/>
      <w:tabs>
        <w:tab w:val="clear" w:pos="9072"/>
      </w:tabs>
    </w:pPr>
    <w:r>
      <w:rPr>
        <w:noProof/>
        <w:lang w:val="en-GB" w:eastAsia="en-GB"/>
      </w:rPr>
      <w:drawing>
        <wp:anchor distT="0" distB="0" distL="114300" distR="114300" simplePos="0" relativeHeight="251656192" behindDoc="0" locked="0" layoutInCell="1" allowOverlap="1" wp14:anchorId="00421366" wp14:editId="01EEF13F">
          <wp:simplePos x="0" y="0"/>
          <wp:positionH relativeFrom="column">
            <wp:posOffset>-28575</wp:posOffset>
          </wp:positionH>
          <wp:positionV relativeFrom="paragraph">
            <wp:posOffset>-105410</wp:posOffset>
          </wp:positionV>
          <wp:extent cx="1485900" cy="534670"/>
          <wp:effectExtent l="0" t="0" r="0" b="0"/>
          <wp:wrapNone/>
          <wp:docPr id="19"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16A9205C" w14:textId="77777777" w:rsidR="0059016B" w:rsidRDefault="00090A52" w:rsidP="0041396E">
    <w:pPr>
      <w:pStyle w:val="Nagwek"/>
      <w:tabs>
        <w:tab w:val="clear" w:pos="9072"/>
      </w:tabs>
    </w:pPr>
  </w:p>
  <w:p w14:paraId="714B3060" w14:textId="77777777" w:rsidR="0059016B" w:rsidRDefault="00090A52" w:rsidP="0041396E">
    <w:pPr>
      <w:pStyle w:val="Nagwek"/>
      <w:tabs>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8376" w14:textId="77777777" w:rsidR="008769E7" w:rsidRDefault="008769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90B4B"/>
    <w:multiLevelType w:val="hybridMultilevel"/>
    <w:tmpl w:val="DD489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A4027"/>
    <w:multiLevelType w:val="hybridMultilevel"/>
    <w:tmpl w:val="9FB0C8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3C51"/>
    <w:rsid w:val="0000713A"/>
    <w:rsid w:val="00007E00"/>
    <w:rsid w:val="00011AF2"/>
    <w:rsid w:val="00014A78"/>
    <w:rsid w:val="00023634"/>
    <w:rsid w:val="00042F96"/>
    <w:rsid w:val="00044DBE"/>
    <w:rsid w:val="000614E7"/>
    <w:rsid w:val="0006310D"/>
    <w:rsid w:val="000651E9"/>
    <w:rsid w:val="00066212"/>
    <w:rsid w:val="00073AA7"/>
    <w:rsid w:val="000776D2"/>
    <w:rsid w:val="00077D80"/>
    <w:rsid w:val="00090A52"/>
    <w:rsid w:val="00097FAC"/>
    <w:rsid w:val="000A74FA"/>
    <w:rsid w:val="000B149D"/>
    <w:rsid w:val="000B1AC5"/>
    <w:rsid w:val="000B7247"/>
    <w:rsid w:val="000D14E9"/>
    <w:rsid w:val="000E0436"/>
    <w:rsid w:val="0010559C"/>
    <w:rsid w:val="00107844"/>
    <w:rsid w:val="00115B9B"/>
    <w:rsid w:val="00120C56"/>
    <w:rsid w:val="00120FBD"/>
    <w:rsid w:val="0012424D"/>
    <w:rsid w:val="0013159A"/>
    <w:rsid w:val="0013448D"/>
    <w:rsid w:val="00135455"/>
    <w:rsid w:val="00143310"/>
    <w:rsid w:val="00144E9C"/>
    <w:rsid w:val="00155EB2"/>
    <w:rsid w:val="00161094"/>
    <w:rsid w:val="00163DF9"/>
    <w:rsid w:val="001666D6"/>
    <w:rsid w:val="00166B5D"/>
    <w:rsid w:val="001675EF"/>
    <w:rsid w:val="0017028A"/>
    <w:rsid w:val="00184346"/>
    <w:rsid w:val="00190D5A"/>
    <w:rsid w:val="001979B5"/>
    <w:rsid w:val="001A5F7C"/>
    <w:rsid w:val="001A6E5B"/>
    <w:rsid w:val="001A7451"/>
    <w:rsid w:val="001C1FAD"/>
    <w:rsid w:val="001E188E"/>
    <w:rsid w:val="001E4F92"/>
    <w:rsid w:val="001F4A73"/>
    <w:rsid w:val="00205580"/>
    <w:rsid w:val="002157BB"/>
    <w:rsid w:val="002262B5"/>
    <w:rsid w:val="0023138D"/>
    <w:rsid w:val="0024118E"/>
    <w:rsid w:val="00241BAC"/>
    <w:rsid w:val="00260382"/>
    <w:rsid w:val="00266CB4"/>
    <w:rsid w:val="00267DD1"/>
    <w:rsid w:val="002801AA"/>
    <w:rsid w:val="00282A44"/>
    <w:rsid w:val="00295B34"/>
    <w:rsid w:val="002A5D69"/>
    <w:rsid w:val="002B1DBF"/>
    <w:rsid w:val="002B35C0"/>
    <w:rsid w:val="002C0D5D"/>
    <w:rsid w:val="002C692D"/>
    <w:rsid w:val="002C6ABE"/>
    <w:rsid w:val="002E3752"/>
    <w:rsid w:val="002E388C"/>
    <w:rsid w:val="002E6CB8"/>
    <w:rsid w:val="002F1BF3"/>
    <w:rsid w:val="002F4D43"/>
    <w:rsid w:val="003056C6"/>
    <w:rsid w:val="00311B14"/>
    <w:rsid w:val="0031505D"/>
    <w:rsid w:val="00316FD1"/>
    <w:rsid w:val="00324306"/>
    <w:rsid w:val="003278D6"/>
    <w:rsid w:val="00327E04"/>
    <w:rsid w:val="003303F0"/>
    <w:rsid w:val="0033443B"/>
    <w:rsid w:val="0034059B"/>
    <w:rsid w:val="0035019C"/>
    <w:rsid w:val="00360248"/>
    <w:rsid w:val="00364892"/>
    <w:rsid w:val="00366A46"/>
    <w:rsid w:val="0037583C"/>
    <w:rsid w:val="00377A0D"/>
    <w:rsid w:val="0038677D"/>
    <w:rsid w:val="0039332E"/>
    <w:rsid w:val="003D3FF4"/>
    <w:rsid w:val="003D7161"/>
    <w:rsid w:val="003E3F9D"/>
    <w:rsid w:val="003E5C2A"/>
    <w:rsid w:val="003E69E5"/>
    <w:rsid w:val="003F6390"/>
    <w:rsid w:val="0040748E"/>
    <w:rsid w:val="00412206"/>
    <w:rsid w:val="0042055E"/>
    <w:rsid w:val="00427E08"/>
    <w:rsid w:val="004349BA"/>
    <w:rsid w:val="0043575C"/>
    <w:rsid w:val="004365C7"/>
    <w:rsid w:val="004425B7"/>
    <w:rsid w:val="00444A85"/>
    <w:rsid w:val="00462CFA"/>
    <w:rsid w:val="00486DB1"/>
    <w:rsid w:val="00493E10"/>
    <w:rsid w:val="004972E8"/>
    <w:rsid w:val="004C0F9E"/>
    <w:rsid w:val="004C1243"/>
    <w:rsid w:val="004C5C26"/>
    <w:rsid w:val="004C7817"/>
    <w:rsid w:val="004D0F20"/>
    <w:rsid w:val="004E7CD1"/>
    <w:rsid w:val="004F7E99"/>
    <w:rsid w:val="005003F9"/>
    <w:rsid w:val="0050417B"/>
    <w:rsid w:val="005133CE"/>
    <w:rsid w:val="00521BA3"/>
    <w:rsid w:val="00523E0D"/>
    <w:rsid w:val="00525588"/>
    <w:rsid w:val="0052710E"/>
    <w:rsid w:val="00527788"/>
    <w:rsid w:val="005442FC"/>
    <w:rsid w:val="0055631D"/>
    <w:rsid w:val="00593935"/>
    <w:rsid w:val="005973FD"/>
    <w:rsid w:val="00597C68"/>
    <w:rsid w:val="005A0B11"/>
    <w:rsid w:val="005A382B"/>
    <w:rsid w:val="005A3BA7"/>
    <w:rsid w:val="005A4047"/>
    <w:rsid w:val="005C0D39"/>
    <w:rsid w:val="005C6232"/>
    <w:rsid w:val="005C7C3A"/>
    <w:rsid w:val="005D6F7A"/>
    <w:rsid w:val="005E78EE"/>
    <w:rsid w:val="005F139F"/>
    <w:rsid w:val="005F1EBD"/>
    <w:rsid w:val="006063D0"/>
    <w:rsid w:val="00613C45"/>
    <w:rsid w:val="00633D4E"/>
    <w:rsid w:val="0063526F"/>
    <w:rsid w:val="00637949"/>
    <w:rsid w:val="00637E86"/>
    <w:rsid w:val="006422DE"/>
    <w:rsid w:val="006439FA"/>
    <w:rsid w:val="00650334"/>
    <w:rsid w:val="0067485D"/>
    <w:rsid w:val="006A2065"/>
    <w:rsid w:val="006A3D88"/>
    <w:rsid w:val="006A4A7A"/>
    <w:rsid w:val="006B0848"/>
    <w:rsid w:val="006B733D"/>
    <w:rsid w:val="006B7E92"/>
    <w:rsid w:val="006C34AE"/>
    <w:rsid w:val="006C5D64"/>
    <w:rsid w:val="006C67AF"/>
    <w:rsid w:val="006D3DC5"/>
    <w:rsid w:val="006F143B"/>
    <w:rsid w:val="007039EC"/>
    <w:rsid w:val="00704AC2"/>
    <w:rsid w:val="00714D86"/>
    <w:rsid w:val="0071572D"/>
    <w:rsid w:val="007157BA"/>
    <w:rsid w:val="007169F9"/>
    <w:rsid w:val="007174A6"/>
    <w:rsid w:val="007224B3"/>
    <w:rsid w:val="00731303"/>
    <w:rsid w:val="007402E0"/>
    <w:rsid w:val="00740AF2"/>
    <w:rsid w:val="0074489D"/>
    <w:rsid w:val="007514AD"/>
    <w:rsid w:val="0075524D"/>
    <w:rsid w:val="007560B0"/>
    <w:rsid w:val="007627D7"/>
    <w:rsid w:val="00775DE9"/>
    <w:rsid w:val="00776C4F"/>
    <w:rsid w:val="007838E4"/>
    <w:rsid w:val="007846DC"/>
    <w:rsid w:val="007A19D8"/>
    <w:rsid w:val="007D5503"/>
    <w:rsid w:val="007E36E4"/>
    <w:rsid w:val="007E3ACE"/>
    <w:rsid w:val="007F0ACE"/>
    <w:rsid w:val="00804024"/>
    <w:rsid w:val="00804700"/>
    <w:rsid w:val="0081122A"/>
    <w:rsid w:val="0081753E"/>
    <w:rsid w:val="0082091C"/>
    <w:rsid w:val="008301D0"/>
    <w:rsid w:val="0085010E"/>
    <w:rsid w:val="0085454F"/>
    <w:rsid w:val="0086484C"/>
    <w:rsid w:val="0087354F"/>
    <w:rsid w:val="008769E7"/>
    <w:rsid w:val="00893B7C"/>
    <w:rsid w:val="00896985"/>
    <w:rsid w:val="008C06AD"/>
    <w:rsid w:val="008C53D0"/>
    <w:rsid w:val="008D2352"/>
    <w:rsid w:val="008D527A"/>
    <w:rsid w:val="008D56DA"/>
    <w:rsid w:val="008D5771"/>
    <w:rsid w:val="008F472E"/>
    <w:rsid w:val="00901756"/>
    <w:rsid w:val="00902556"/>
    <w:rsid w:val="0090338C"/>
    <w:rsid w:val="0091048E"/>
    <w:rsid w:val="00924ABC"/>
    <w:rsid w:val="00940E8F"/>
    <w:rsid w:val="0095309C"/>
    <w:rsid w:val="009652F2"/>
    <w:rsid w:val="009719ED"/>
    <w:rsid w:val="009823CB"/>
    <w:rsid w:val="00986C37"/>
    <w:rsid w:val="00995C7F"/>
    <w:rsid w:val="00997528"/>
    <w:rsid w:val="0099796A"/>
    <w:rsid w:val="009B7EFE"/>
    <w:rsid w:val="009C1346"/>
    <w:rsid w:val="009C59A0"/>
    <w:rsid w:val="009D05C8"/>
    <w:rsid w:val="009E3C0B"/>
    <w:rsid w:val="009E529C"/>
    <w:rsid w:val="009E7738"/>
    <w:rsid w:val="00A073B2"/>
    <w:rsid w:val="00A11379"/>
    <w:rsid w:val="00A13244"/>
    <w:rsid w:val="00A239AA"/>
    <w:rsid w:val="00A27F0B"/>
    <w:rsid w:val="00A439E8"/>
    <w:rsid w:val="00A45753"/>
    <w:rsid w:val="00A46E29"/>
    <w:rsid w:val="00A51F7A"/>
    <w:rsid w:val="00A53423"/>
    <w:rsid w:val="00A62659"/>
    <w:rsid w:val="00A65F20"/>
    <w:rsid w:val="00A76293"/>
    <w:rsid w:val="00A77DA2"/>
    <w:rsid w:val="00A85D9D"/>
    <w:rsid w:val="00A92C4C"/>
    <w:rsid w:val="00AA602D"/>
    <w:rsid w:val="00AB572D"/>
    <w:rsid w:val="00AC07A8"/>
    <w:rsid w:val="00AE2923"/>
    <w:rsid w:val="00AE7F9D"/>
    <w:rsid w:val="00AF1F26"/>
    <w:rsid w:val="00B01985"/>
    <w:rsid w:val="00B028F7"/>
    <w:rsid w:val="00B057E1"/>
    <w:rsid w:val="00B17DC9"/>
    <w:rsid w:val="00B22863"/>
    <w:rsid w:val="00B41502"/>
    <w:rsid w:val="00B51024"/>
    <w:rsid w:val="00B60CD8"/>
    <w:rsid w:val="00B60F9C"/>
    <w:rsid w:val="00B65389"/>
    <w:rsid w:val="00B6769E"/>
    <w:rsid w:val="00B70D82"/>
    <w:rsid w:val="00B71F5F"/>
    <w:rsid w:val="00B73F22"/>
    <w:rsid w:val="00B76F9A"/>
    <w:rsid w:val="00B810B2"/>
    <w:rsid w:val="00B83ABF"/>
    <w:rsid w:val="00B92437"/>
    <w:rsid w:val="00BA26F7"/>
    <w:rsid w:val="00BA7356"/>
    <w:rsid w:val="00BA79F0"/>
    <w:rsid w:val="00BB5068"/>
    <w:rsid w:val="00BB7AE8"/>
    <w:rsid w:val="00BD0481"/>
    <w:rsid w:val="00BD4447"/>
    <w:rsid w:val="00BD67E2"/>
    <w:rsid w:val="00BE1820"/>
    <w:rsid w:val="00BE2623"/>
    <w:rsid w:val="00BE3923"/>
    <w:rsid w:val="00BE4BF0"/>
    <w:rsid w:val="00BE5EE5"/>
    <w:rsid w:val="00BE68EE"/>
    <w:rsid w:val="00BE7F63"/>
    <w:rsid w:val="00BF45FB"/>
    <w:rsid w:val="00BF565C"/>
    <w:rsid w:val="00C123B1"/>
    <w:rsid w:val="00C21071"/>
    <w:rsid w:val="00C2398C"/>
    <w:rsid w:val="00C25569"/>
    <w:rsid w:val="00C27366"/>
    <w:rsid w:val="00C63AA8"/>
    <w:rsid w:val="00C6403A"/>
    <w:rsid w:val="00C75C22"/>
    <w:rsid w:val="00C7783C"/>
    <w:rsid w:val="00CA6B58"/>
    <w:rsid w:val="00CB1AE6"/>
    <w:rsid w:val="00CB3ED4"/>
    <w:rsid w:val="00CB3F86"/>
    <w:rsid w:val="00CD34F0"/>
    <w:rsid w:val="00CE0954"/>
    <w:rsid w:val="00CF11F7"/>
    <w:rsid w:val="00D001FD"/>
    <w:rsid w:val="00D109E8"/>
    <w:rsid w:val="00D13189"/>
    <w:rsid w:val="00D1323F"/>
    <w:rsid w:val="00D202BA"/>
    <w:rsid w:val="00D251AC"/>
    <w:rsid w:val="00D43766"/>
    <w:rsid w:val="00D47CCF"/>
    <w:rsid w:val="00D6457B"/>
    <w:rsid w:val="00D66DEC"/>
    <w:rsid w:val="00D71A41"/>
    <w:rsid w:val="00D768A4"/>
    <w:rsid w:val="00D85A53"/>
    <w:rsid w:val="00D87955"/>
    <w:rsid w:val="00D92A7E"/>
    <w:rsid w:val="00D92F52"/>
    <w:rsid w:val="00D968F5"/>
    <w:rsid w:val="00DA753F"/>
    <w:rsid w:val="00DB4D53"/>
    <w:rsid w:val="00DC182C"/>
    <w:rsid w:val="00DC409B"/>
    <w:rsid w:val="00DC5754"/>
    <w:rsid w:val="00DD2AE5"/>
    <w:rsid w:val="00DD34A3"/>
    <w:rsid w:val="00DD35CC"/>
    <w:rsid w:val="00DD6056"/>
    <w:rsid w:val="00DE7C6A"/>
    <w:rsid w:val="00DF21B0"/>
    <w:rsid w:val="00DF2857"/>
    <w:rsid w:val="00DF782B"/>
    <w:rsid w:val="00E03AEF"/>
    <w:rsid w:val="00E102DE"/>
    <w:rsid w:val="00E24825"/>
    <w:rsid w:val="00E26CB9"/>
    <w:rsid w:val="00E42093"/>
    <w:rsid w:val="00E522AD"/>
    <w:rsid w:val="00E64103"/>
    <w:rsid w:val="00E76CD1"/>
    <w:rsid w:val="00E82577"/>
    <w:rsid w:val="00E91277"/>
    <w:rsid w:val="00ED65DD"/>
    <w:rsid w:val="00EE4AD8"/>
    <w:rsid w:val="00EF6B9B"/>
    <w:rsid w:val="00F139AC"/>
    <w:rsid w:val="00F14901"/>
    <w:rsid w:val="00F16CE4"/>
    <w:rsid w:val="00F21EAC"/>
    <w:rsid w:val="00F220C5"/>
    <w:rsid w:val="00F3243D"/>
    <w:rsid w:val="00F46D0D"/>
    <w:rsid w:val="00F47B8F"/>
    <w:rsid w:val="00F723A2"/>
    <w:rsid w:val="00F850E5"/>
    <w:rsid w:val="00F92B59"/>
    <w:rsid w:val="00F948BC"/>
    <w:rsid w:val="00F960CF"/>
    <w:rsid w:val="00FA10A3"/>
    <w:rsid w:val="00FA1226"/>
    <w:rsid w:val="00FA6A2B"/>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8DD4E"/>
  <w15:docId w15:val="{D5575033-E6EB-4553-B784-51E86143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rPr>
  </w:style>
  <w:style w:type="paragraph" w:styleId="Stopka">
    <w:name w:val="footer"/>
    <w:basedOn w:val="Normalny"/>
    <w:link w:val="StopkaZnak"/>
    <w:rsid w:val="006439FA"/>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6439FA"/>
    <w:rPr>
      <w:rFonts w:ascii="Arial" w:eastAsia="Calibri" w:hAnsi="Arial" w:cs="Times New Roman"/>
      <w:sz w:val="20"/>
      <w:szCs w:val="20"/>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odstawowywcity">
    <w:name w:val="Body Text Indent"/>
    <w:basedOn w:val="Normalny"/>
    <w:link w:val="TekstpodstawowywcityZnak"/>
    <w:uiPriority w:val="99"/>
    <w:semiHidden/>
    <w:unhideWhenUsed/>
    <w:rsid w:val="00B71F5F"/>
    <w:pPr>
      <w:spacing w:after="120"/>
      <w:ind w:left="283"/>
    </w:pPr>
  </w:style>
  <w:style w:type="character" w:customStyle="1" w:styleId="TekstpodstawowywcityZnak">
    <w:name w:val="Tekst podstawowy wcięty Znak"/>
    <w:basedOn w:val="Domylnaczcionkaakapitu"/>
    <w:link w:val="Tekstpodstawowywcity"/>
    <w:uiPriority w:val="99"/>
    <w:semiHidden/>
    <w:rsid w:val="00B71F5F"/>
    <w:rPr>
      <w:rFonts w:ascii="Trebuchet MS" w:eastAsia="Times New Roman" w:hAnsi="Trebuchet MS" w:cs="Times New Roman"/>
      <w:sz w:val="18"/>
    </w:rPr>
  </w:style>
  <w:style w:type="character" w:styleId="Uwydatnienie">
    <w:name w:val="Emphasis"/>
    <w:basedOn w:val="Domylnaczcionkaakapitu"/>
    <w:uiPriority w:val="20"/>
    <w:qFormat/>
    <w:rsid w:val="00995C7F"/>
    <w:rPr>
      <w:i/>
      <w:iCs/>
    </w:rPr>
  </w:style>
  <w:style w:type="character" w:styleId="UyteHipercze">
    <w:name w:val="FollowedHyperlink"/>
    <w:basedOn w:val="Domylnaczcionkaakapitu"/>
    <w:uiPriority w:val="99"/>
    <w:semiHidden/>
    <w:unhideWhenUsed/>
    <w:rsid w:val="00714D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484">
      <w:bodyDiv w:val="1"/>
      <w:marLeft w:val="0"/>
      <w:marRight w:val="0"/>
      <w:marTop w:val="0"/>
      <w:marBottom w:val="0"/>
      <w:divBdr>
        <w:top w:val="none" w:sz="0" w:space="0" w:color="auto"/>
        <w:left w:val="none" w:sz="0" w:space="0" w:color="auto"/>
        <w:bottom w:val="none" w:sz="0" w:space="0" w:color="auto"/>
        <w:right w:val="none" w:sz="0" w:space="0" w:color="auto"/>
      </w:divBdr>
    </w:div>
    <w:div w:id="100955991">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news.php?news_id=1594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okik.gov.pl/news.php?news_id=14323"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kik.gov.pl/news.php?news_id=1432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okik.gov.pl/news.php?news_id=125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okik.gov.pl/news.php?news_id=12477"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Maciej Chmielowski</cp:lastModifiedBy>
  <cp:revision>2</cp:revision>
  <cp:lastPrinted>2020-05-28T14:53:00Z</cp:lastPrinted>
  <dcterms:created xsi:type="dcterms:W3CDTF">2020-06-02T13:41:00Z</dcterms:created>
  <dcterms:modified xsi:type="dcterms:W3CDTF">2020-06-02T13:41:00Z</dcterms:modified>
</cp:coreProperties>
</file>