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EF083" w14:textId="29422675" w:rsidR="00D47CCF" w:rsidRPr="0024118E" w:rsidRDefault="004E31E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Kary dla idea bank, rekompensaty dla konsumentów – decyzje prezesa UOKiK</w:t>
      </w:r>
    </w:p>
    <w:p w14:paraId="5E7CA26F" w14:textId="3877B053" w:rsidR="00986C37" w:rsidRPr="004E31E1" w:rsidRDefault="00A45EAB" w:rsidP="004E31E1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E31E1">
        <w:rPr>
          <w:rFonts w:cs="Tahoma"/>
          <w:b/>
          <w:bCs/>
          <w:color w:val="000000" w:themeColor="text1"/>
          <w:sz w:val="22"/>
          <w:lang w:eastAsia="en-GB"/>
        </w:rPr>
        <w:t>Prezes UOKiK Tomasz Chróstny wydał 4 decyzje wobec Idea Bank</w:t>
      </w:r>
      <w:r w:rsidR="0051171D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nałożył na </w:t>
      </w:r>
      <w:r w:rsidR="0051171D" w:rsidRPr="004E31E1">
        <w:rPr>
          <w:rFonts w:cs="Tahoma"/>
          <w:b/>
          <w:bCs/>
          <w:color w:val="000000" w:themeColor="text1"/>
          <w:sz w:val="22"/>
          <w:lang w:eastAsia="en-GB"/>
        </w:rPr>
        <w:t>bank</w:t>
      </w:r>
      <w:r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 kary w </w:t>
      </w:r>
      <w:r w:rsidR="00931074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łącznej </w:t>
      </w:r>
      <w:r w:rsidRPr="004E31E1">
        <w:rPr>
          <w:rFonts w:cs="Tahoma"/>
          <w:b/>
          <w:bCs/>
          <w:color w:val="000000" w:themeColor="text1"/>
          <w:sz w:val="22"/>
          <w:lang w:eastAsia="en-GB"/>
        </w:rPr>
        <w:t>wysokości ponad 17</w:t>
      </w:r>
      <w:r w:rsidR="00EC065B" w:rsidRPr="004E31E1">
        <w:rPr>
          <w:rFonts w:cs="Tahoma"/>
          <w:b/>
          <w:bCs/>
          <w:color w:val="000000" w:themeColor="text1"/>
          <w:sz w:val="22"/>
          <w:lang w:eastAsia="en-GB"/>
        </w:rPr>
        <w:t>,2</w:t>
      </w:r>
      <w:r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 mln zł</w:t>
      </w:r>
      <w:r w:rsidR="004518D2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 oraz nakazał wypłacić </w:t>
      </w:r>
      <w:r w:rsidR="00C85283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po 38 tys. zł </w:t>
      </w:r>
      <w:r w:rsidR="004518D2" w:rsidRPr="004E31E1">
        <w:rPr>
          <w:rFonts w:cs="Tahoma"/>
          <w:b/>
          <w:bCs/>
          <w:color w:val="000000" w:themeColor="text1"/>
          <w:sz w:val="22"/>
          <w:lang w:eastAsia="en-GB"/>
        </w:rPr>
        <w:t>rekompensat</w:t>
      </w:r>
      <w:r w:rsidR="00C85283" w:rsidRPr="004E31E1">
        <w:rPr>
          <w:rFonts w:cs="Tahoma"/>
          <w:b/>
          <w:bCs/>
          <w:color w:val="000000" w:themeColor="text1"/>
          <w:sz w:val="22"/>
          <w:lang w:eastAsia="en-GB"/>
        </w:rPr>
        <w:t>y</w:t>
      </w:r>
      <w:r w:rsidR="004518D2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 konsumentom, którzy nabyli certyfikaty inwestycyjne emitowane przez </w:t>
      </w:r>
      <w:proofErr w:type="spellStart"/>
      <w:r w:rsidR="004518D2" w:rsidRPr="004E31E1">
        <w:rPr>
          <w:rFonts w:cs="Tahoma"/>
          <w:b/>
          <w:bCs/>
          <w:color w:val="000000" w:themeColor="text1"/>
          <w:sz w:val="22"/>
          <w:lang w:eastAsia="en-GB"/>
        </w:rPr>
        <w:t>Lartiq</w:t>
      </w:r>
      <w:proofErr w:type="spellEnd"/>
      <w:r w:rsidR="00FA2270" w:rsidRPr="004E31E1">
        <w:rPr>
          <w:rFonts w:cs="Tahoma"/>
          <w:b/>
          <w:bCs/>
          <w:color w:val="000000" w:themeColor="text1"/>
          <w:sz w:val="22"/>
          <w:lang w:eastAsia="en-GB"/>
        </w:rPr>
        <w:t xml:space="preserve"> (dawniej </w:t>
      </w:r>
      <w:proofErr w:type="spellStart"/>
      <w:r w:rsidR="00FA2270" w:rsidRPr="004E31E1">
        <w:rPr>
          <w:rFonts w:cs="Tahoma"/>
          <w:b/>
          <w:bCs/>
          <w:color w:val="000000" w:themeColor="text1"/>
          <w:sz w:val="22"/>
          <w:lang w:eastAsia="en-GB"/>
        </w:rPr>
        <w:t>Trigon</w:t>
      </w:r>
      <w:proofErr w:type="spellEnd"/>
      <w:r w:rsidR="00FA2270" w:rsidRPr="004E31E1">
        <w:rPr>
          <w:rFonts w:cs="Tahoma"/>
          <w:b/>
          <w:bCs/>
          <w:color w:val="000000" w:themeColor="text1"/>
          <w:sz w:val="22"/>
          <w:lang w:eastAsia="en-GB"/>
        </w:rPr>
        <w:t>)</w:t>
      </w:r>
      <w:r w:rsidR="00CC708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E706D17" w14:textId="5D4359AD" w:rsidR="005A4A7F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7023C">
        <w:rPr>
          <w:b/>
          <w:sz w:val="22"/>
        </w:rPr>
        <w:t>14</w:t>
      </w:r>
      <w:r w:rsidR="00986C37">
        <w:rPr>
          <w:b/>
          <w:sz w:val="22"/>
        </w:rPr>
        <w:t xml:space="preserve"> </w:t>
      </w:r>
      <w:r w:rsidR="004518D2">
        <w:rPr>
          <w:b/>
          <w:sz w:val="22"/>
        </w:rPr>
        <w:t>lipc</w:t>
      </w:r>
      <w:r w:rsidR="00017DFD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B0F08">
        <w:rPr>
          <w:sz w:val="22"/>
        </w:rPr>
        <w:t>Prezes Urzędu Ochrony Konkurencji i Konsumentów</w:t>
      </w:r>
      <w:r w:rsidR="0051171D">
        <w:rPr>
          <w:sz w:val="22"/>
        </w:rPr>
        <w:t xml:space="preserve"> Tomasz Chróstny </w:t>
      </w:r>
      <w:r w:rsidR="005B0F08">
        <w:rPr>
          <w:sz w:val="22"/>
        </w:rPr>
        <w:t>wydał 4 decyzje wobec Idea Bank. Trzy z nich dotyczą naruszania praw konsumentów przy oferowaniu skomplikowanych produktów finansowych: certyfikatów inwestycyjnych, lokat strukturyzowanych oraz ubezpieczeń na życie z ubezpieczeniowymi funduszami kapitałowymi (</w:t>
      </w:r>
      <w:proofErr w:type="spellStart"/>
      <w:r w:rsidR="005B0F08">
        <w:rPr>
          <w:sz w:val="22"/>
        </w:rPr>
        <w:t>ufk</w:t>
      </w:r>
      <w:proofErr w:type="spellEnd"/>
      <w:r w:rsidR="005B0F08">
        <w:rPr>
          <w:sz w:val="22"/>
        </w:rPr>
        <w:t xml:space="preserve">). W czwartej decyzji Prezes UOKiK stwierdził stosowanie przez spółkę </w:t>
      </w:r>
      <w:r w:rsidR="003F549C">
        <w:rPr>
          <w:sz w:val="22"/>
        </w:rPr>
        <w:t xml:space="preserve">postanowień </w:t>
      </w:r>
      <w:r w:rsidR="00106AFD">
        <w:rPr>
          <w:sz w:val="22"/>
        </w:rPr>
        <w:t>niedozwolonych</w:t>
      </w:r>
      <w:r w:rsidR="003F549C">
        <w:rPr>
          <w:sz w:val="22"/>
        </w:rPr>
        <w:t xml:space="preserve"> w umowach bankowych w zakresie klauzul modyfikacyjnych</w:t>
      </w:r>
      <w:r w:rsidR="00106AFD">
        <w:rPr>
          <w:sz w:val="22"/>
        </w:rPr>
        <w:t>.</w:t>
      </w:r>
    </w:p>
    <w:p w14:paraId="6A15F35B" w14:textId="59F9317B" w:rsidR="00B41502" w:rsidRPr="0010559C" w:rsidRDefault="00EC065B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5D1A55">
        <w:rPr>
          <w:i/>
          <w:sz w:val="22"/>
        </w:rPr>
        <w:t xml:space="preserve">To nie pierwszy raz, kiedy mamy </w:t>
      </w:r>
      <w:r w:rsidR="00364219" w:rsidRPr="005D1A55">
        <w:rPr>
          <w:i/>
          <w:sz w:val="22"/>
        </w:rPr>
        <w:t xml:space="preserve">bardzo </w:t>
      </w:r>
      <w:r w:rsidRPr="005D1A55">
        <w:rPr>
          <w:i/>
          <w:sz w:val="22"/>
        </w:rPr>
        <w:t xml:space="preserve">poważne zastrzeżenia </w:t>
      </w:r>
      <w:r w:rsidR="00366306">
        <w:rPr>
          <w:i/>
          <w:sz w:val="22"/>
        </w:rPr>
        <w:t>wobec</w:t>
      </w:r>
      <w:r w:rsidRPr="005D1A55">
        <w:rPr>
          <w:i/>
          <w:sz w:val="22"/>
        </w:rPr>
        <w:t xml:space="preserve"> Idea Banku.</w:t>
      </w:r>
      <w:r w:rsidR="005D1A55">
        <w:rPr>
          <w:i/>
          <w:sz w:val="22"/>
        </w:rPr>
        <w:t xml:space="preserve"> Już wcześniej</w:t>
      </w:r>
      <w:r w:rsidR="003F549C">
        <w:rPr>
          <w:i/>
          <w:sz w:val="22"/>
        </w:rPr>
        <w:t xml:space="preserve"> stwierdziliśmy, że</w:t>
      </w:r>
      <w:r w:rsidR="00C37663" w:rsidRPr="005D1A55">
        <w:rPr>
          <w:i/>
          <w:sz w:val="22"/>
        </w:rPr>
        <w:t xml:space="preserve"> </w:t>
      </w:r>
      <w:hyperlink r:id="rId7" w:history="1">
        <w:r w:rsidR="005D1A55">
          <w:rPr>
            <w:rStyle w:val="Hipercze"/>
            <w:i/>
            <w:sz w:val="22"/>
          </w:rPr>
          <w:t>spółka naruszała prawa konsumentów</w:t>
        </w:r>
        <w:r w:rsidRPr="005D1A55">
          <w:rPr>
            <w:rStyle w:val="Hipercze"/>
            <w:i/>
            <w:sz w:val="22"/>
          </w:rPr>
          <w:t xml:space="preserve"> </w:t>
        </w:r>
        <w:r w:rsidR="00364219" w:rsidRPr="005D1A55">
          <w:rPr>
            <w:rStyle w:val="Hipercze"/>
            <w:i/>
            <w:sz w:val="22"/>
          </w:rPr>
          <w:t xml:space="preserve">przy </w:t>
        </w:r>
        <w:r w:rsidR="00C37663" w:rsidRPr="005D1A55">
          <w:rPr>
            <w:rStyle w:val="Hipercze"/>
            <w:i/>
            <w:sz w:val="22"/>
          </w:rPr>
          <w:t>sprzedaży</w:t>
        </w:r>
        <w:r w:rsidR="00364219" w:rsidRPr="005D1A55">
          <w:rPr>
            <w:rStyle w:val="Hipercze"/>
            <w:i/>
            <w:sz w:val="22"/>
          </w:rPr>
          <w:t xml:space="preserve"> obligacji korporacyjnych </w:t>
        </w:r>
        <w:proofErr w:type="spellStart"/>
        <w:r w:rsidR="00C37663" w:rsidRPr="005D1A55">
          <w:rPr>
            <w:rStyle w:val="Hipercze"/>
            <w:i/>
            <w:sz w:val="22"/>
          </w:rPr>
          <w:t>GetBack</w:t>
        </w:r>
        <w:proofErr w:type="spellEnd"/>
      </w:hyperlink>
      <w:r w:rsidR="00931074">
        <w:rPr>
          <w:i/>
          <w:sz w:val="22"/>
        </w:rPr>
        <w:t xml:space="preserve"> -</w:t>
      </w:r>
      <w:r w:rsidR="00C37663" w:rsidRPr="005D1A55">
        <w:rPr>
          <w:i/>
          <w:sz w:val="22"/>
        </w:rPr>
        <w:t xml:space="preserve"> wprowadzała </w:t>
      </w:r>
      <w:r w:rsidR="005D1A55">
        <w:rPr>
          <w:i/>
          <w:sz w:val="22"/>
        </w:rPr>
        <w:t>ich</w:t>
      </w:r>
      <w:r w:rsidR="00C37663" w:rsidRPr="005D1A55">
        <w:rPr>
          <w:i/>
          <w:sz w:val="22"/>
        </w:rPr>
        <w:t xml:space="preserve"> w błąd i oferowała im produkt</w:t>
      </w:r>
      <w:r w:rsidR="006B7696">
        <w:rPr>
          <w:i/>
          <w:sz w:val="22"/>
        </w:rPr>
        <w:t>y</w:t>
      </w:r>
      <w:r w:rsidR="00C37663" w:rsidRPr="005D1A55">
        <w:rPr>
          <w:i/>
          <w:sz w:val="22"/>
        </w:rPr>
        <w:t xml:space="preserve"> niedostosowan</w:t>
      </w:r>
      <w:r w:rsidR="006B7696">
        <w:rPr>
          <w:i/>
          <w:sz w:val="22"/>
        </w:rPr>
        <w:t>e</w:t>
      </w:r>
      <w:r w:rsidR="00C37663" w:rsidRPr="005D1A55">
        <w:rPr>
          <w:i/>
          <w:sz w:val="22"/>
        </w:rPr>
        <w:t xml:space="preserve"> do ich potrzeb</w:t>
      </w:r>
      <w:r w:rsidR="00A21E30">
        <w:rPr>
          <w:i/>
          <w:sz w:val="22"/>
        </w:rPr>
        <w:t xml:space="preserve">, czyli stosowała </w:t>
      </w:r>
      <w:proofErr w:type="spellStart"/>
      <w:r w:rsidR="00A21E30">
        <w:rPr>
          <w:i/>
          <w:sz w:val="22"/>
        </w:rPr>
        <w:t>misselling</w:t>
      </w:r>
      <w:proofErr w:type="spellEnd"/>
      <w:r w:rsidR="00C37663" w:rsidRPr="005D1A55">
        <w:rPr>
          <w:i/>
          <w:sz w:val="22"/>
        </w:rPr>
        <w:t xml:space="preserve">. Tym razem zarzuty dotyczyły innych </w:t>
      </w:r>
      <w:r w:rsidR="0051171D">
        <w:rPr>
          <w:i/>
          <w:sz w:val="22"/>
        </w:rPr>
        <w:t>produktów</w:t>
      </w:r>
      <w:r w:rsidR="00C37663" w:rsidRPr="005D1A55">
        <w:rPr>
          <w:i/>
          <w:sz w:val="22"/>
        </w:rPr>
        <w:t xml:space="preserve"> finansowych. </w:t>
      </w:r>
      <w:r w:rsidR="006B7696">
        <w:rPr>
          <w:i/>
          <w:sz w:val="22"/>
        </w:rPr>
        <w:t>Bank</w:t>
      </w:r>
      <w:r w:rsidR="003F549C" w:rsidRPr="005D1A55">
        <w:rPr>
          <w:i/>
          <w:sz w:val="22"/>
        </w:rPr>
        <w:t xml:space="preserve"> </w:t>
      </w:r>
      <w:r w:rsidR="0051171D">
        <w:rPr>
          <w:i/>
          <w:sz w:val="22"/>
        </w:rPr>
        <w:t>przekazywał klientom</w:t>
      </w:r>
      <w:r w:rsidR="003F549C" w:rsidRPr="005D1A55">
        <w:rPr>
          <w:i/>
          <w:sz w:val="22"/>
        </w:rPr>
        <w:t xml:space="preserve"> nieprawdziw</w:t>
      </w:r>
      <w:r w:rsidR="003F549C">
        <w:rPr>
          <w:i/>
          <w:sz w:val="22"/>
        </w:rPr>
        <w:t>e</w:t>
      </w:r>
      <w:r w:rsidR="003F549C" w:rsidRPr="005D1A55">
        <w:rPr>
          <w:i/>
          <w:sz w:val="22"/>
        </w:rPr>
        <w:t xml:space="preserve"> informacj</w:t>
      </w:r>
      <w:r w:rsidR="003F549C">
        <w:rPr>
          <w:i/>
          <w:sz w:val="22"/>
        </w:rPr>
        <w:t>e</w:t>
      </w:r>
      <w:r w:rsidR="003F549C" w:rsidRPr="005D1A55">
        <w:rPr>
          <w:i/>
          <w:sz w:val="22"/>
        </w:rPr>
        <w:t xml:space="preserve"> </w:t>
      </w:r>
      <w:r w:rsidR="00C37663" w:rsidRPr="005D1A55">
        <w:rPr>
          <w:i/>
          <w:sz w:val="22"/>
        </w:rPr>
        <w:t>m.in. o ryzyku</w:t>
      </w:r>
      <w:r w:rsidR="006B7696">
        <w:rPr>
          <w:i/>
          <w:sz w:val="22"/>
        </w:rPr>
        <w:t xml:space="preserve"> i zyskach</w:t>
      </w:r>
      <w:r w:rsidR="00C37663" w:rsidRPr="005D1A55">
        <w:rPr>
          <w:i/>
          <w:sz w:val="22"/>
        </w:rPr>
        <w:t xml:space="preserve">, a także </w:t>
      </w:r>
      <w:r w:rsidR="0052794F">
        <w:rPr>
          <w:i/>
          <w:sz w:val="22"/>
        </w:rPr>
        <w:t xml:space="preserve">stosował </w:t>
      </w:r>
      <w:proofErr w:type="spellStart"/>
      <w:r w:rsidR="00C37663" w:rsidRPr="005D1A55">
        <w:rPr>
          <w:i/>
          <w:sz w:val="22"/>
        </w:rPr>
        <w:t>misselling</w:t>
      </w:r>
      <w:proofErr w:type="spellEnd"/>
      <w:r w:rsidR="00C37663" w:rsidRPr="005D1A55">
        <w:rPr>
          <w:i/>
          <w:sz w:val="22"/>
        </w:rPr>
        <w:t xml:space="preserve">. </w:t>
      </w:r>
      <w:r w:rsidR="005D1A55">
        <w:rPr>
          <w:i/>
          <w:sz w:val="22"/>
        </w:rPr>
        <w:t>O</w:t>
      </w:r>
      <w:r w:rsidR="00C37663" w:rsidRPr="005D1A55">
        <w:rPr>
          <w:i/>
          <w:sz w:val="22"/>
        </w:rPr>
        <w:t xml:space="preserve">ferowanie </w:t>
      </w:r>
      <w:r w:rsidR="005D1A55" w:rsidRPr="005D1A55">
        <w:rPr>
          <w:i/>
          <w:sz w:val="22"/>
        </w:rPr>
        <w:t xml:space="preserve">produktów wysokiego ryzyka osobom, które preferują bezpieczne inwestycje, </w:t>
      </w:r>
      <w:r w:rsidR="005D1A55">
        <w:rPr>
          <w:i/>
          <w:sz w:val="22"/>
        </w:rPr>
        <w:t>a także wprowadzanie ich w błąd i</w:t>
      </w:r>
      <w:r w:rsidR="005D1A55" w:rsidRPr="005D1A55">
        <w:rPr>
          <w:i/>
          <w:sz w:val="22"/>
        </w:rPr>
        <w:t xml:space="preserve"> zatajanie ważnych informacji</w:t>
      </w:r>
      <w:r w:rsidR="005D1A55">
        <w:rPr>
          <w:i/>
          <w:sz w:val="22"/>
        </w:rPr>
        <w:t xml:space="preserve"> jest absolutnie niedopuszczalne – </w:t>
      </w:r>
      <w:r w:rsidR="005D1A55" w:rsidRPr="005D1A55">
        <w:rPr>
          <w:sz w:val="22"/>
        </w:rPr>
        <w:t xml:space="preserve">mówi </w:t>
      </w:r>
      <w:r w:rsidR="005D1A55">
        <w:rPr>
          <w:sz w:val="22"/>
        </w:rPr>
        <w:t>Tomasz Chróstny, Prezes UOKiK.</w:t>
      </w:r>
    </w:p>
    <w:p w14:paraId="6725C864" w14:textId="77777777" w:rsidR="00A13244" w:rsidRPr="00D47CCF" w:rsidRDefault="00071193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C</w:t>
      </w:r>
      <w:r w:rsidR="00EC065B">
        <w:rPr>
          <w:rFonts w:cs="Tahoma"/>
          <w:b/>
          <w:bCs/>
          <w:sz w:val="22"/>
          <w:lang w:eastAsia="pl-PL"/>
        </w:rPr>
        <w:t>ertyfikat</w:t>
      </w:r>
      <w:r>
        <w:rPr>
          <w:rFonts w:cs="Tahoma"/>
          <w:b/>
          <w:bCs/>
          <w:sz w:val="22"/>
          <w:lang w:eastAsia="pl-PL"/>
        </w:rPr>
        <w:t>y</w:t>
      </w:r>
      <w:r w:rsidR="00EC065B">
        <w:rPr>
          <w:rFonts w:cs="Tahoma"/>
          <w:b/>
          <w:bCs/>
          <w:sz w:val="22"/>
          <w:lang w:eastAsia="pl-PL"/>
        </w:rPr>
        <w:t xml:space="preserve"> inwestycyjn</w:t>
      </w:r>
      <w:r>
        <w:rPr>
          <w:rFonts w:cs="Tahoma"/>
          <w:b/>
          <w:bCs/>
          <w:sz w:val="22"/>
          <w:lang w:eastAsia="pl-PL"/>
        </w:rPr>
        <w:t xml:space="preserve">e funduszy </w:t>
      </w:r>
      <w:proofErr w:type="spellStart"/>
      <w:r>
        <w:rPr>
          <w:rFonts w:cs="Tahoma"/>
          <w:b/>
          <w:bCs/>
          <w:sz w:val="22"/>
          <w:lang w:eastAsia="pl-PL"/>
        </w:rPr>
        <w:t>Lartiq</w:t>
      </w:r>
      <w:proofErr w:type="spellEnd"/>
      <w:r>
        <w:rPr>
          <w:rFonts w:cs="Tahoma"/>
          <w:b/>
          <w:bCs/>
          <w:sz w:val="22"/>
          <w:lang w:eastAsia="pl-PL"/>
        </w:rPr>
        <w:t xml:space="preserve"> (dawniej </w:t>
      </w:r>
      <w:proofErr w:type="spellStart"/>
      <w:r>
        <w:rPr>
          <w:rFonts w:cs="Tahoma"/>
          <w:b/>
          <w:bCs/>
          <w:sz w:val="22"/>
          <w:lang w:eastAsia="pl-PL"/>
        </w:rPr>
        <w:t>Trigon</w:t>
      </w:r>
      <w:proofErr w:type="spellEnd"/>
      <w:r>
        <w:rPr>
          <w:rFonts w:cs="Tahoma"/>
          <w:b/>
          <w:bCs/>
          <w:sz w:val="22"/>
          <w:lang w:eastAsia="pl-PL"/>
        </w:rPr>
        <w:t>)</w:t>
      </w:r>
    </w:p>
    <w:p w14:paraId="2F859878" w14:textId="1FF05A4B" w:rsidR="00B73F22" w:rsidRDefault="00071193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Pierwsza decyzja dotyczy oferowania przez Idea Bank </w:t>
      </w:r>
      <w:r w:rsidR="006343D6">
        <w:rPr>
          <w:sz w:val="22"/>
        </w:rPr>
        <w:t xml:space="preserve">certyfikatów inwestycyjnych emitowanych przez </w:t>
      </w:r>
      <w:proofErr w:type="spellStart"/>
      <w:r w:rsidR="006343D6">
        <w:rPr>
          <w:sz w:val="22"/>
        </w:rPr>
        <w:t>Lartiq</w:t>
      </w:r>
      <w:proofErr w:type="spellEnd"/>
      <w:r w:rsidR="006343D6">
        <w:rPr>
          <w:sz w:val="22"/>
        </w:rPr>
        <w:t xml:space="preserve"> (dawniej </w:t>
      </w:r>
      <w:proofErr w:type="spellStart"/>
      <w:r w:rsidR="006343D6">
        <w:rPr>
          <w:sz w:val="22"/>
        </w:rPr>
        <w:t>Trigon</w:t>
      </w:r>
      <w:proofErr w:type="spellEnd"/>
      <w:r w:rsidR="006343D6">
        <w:rPr>
          <w:sz w:val="22"/>
        </w:rPr>
        <w:t>) Profit XXII, XXIII, XXIV Niestandaryzowane Sekurytyzacyjne Fundusze Inwestycyjne Zamknięte</w:t>
      </w:r>
      <w:r w:rsidR="00C85283">
        <w:rPr>
          <w:sz w:val="22"/>
        </w:rPr>
        <w:t xml:space="preserve"> (NS FIZ)</w:t>
      </w:r>
      <w:r w:rsidR="006343D6">
        <w:rPr>
          <w:sz w:val="22"/>
        </w:rPr>
        <w:t>. To produkt wysokiego ryzyka</w:t>
      </w:r>
      <w:r w:rsidR="00281E54">
        <w:rPr>
          <w:sz w:val="22"/>
        </w:rPr>
        <w:t xml:space="preserve">, tymczasem Idea Bank proponował go osobom, którym zależało na bezpieczeństwie swoich oszczędności </w:t>
      </w:r>
      <w:r w:rsidR="00A21E30">
        <w:rPr>
          <w:sz w:val="22"/>
        </w:rPr>
        <w:t>lub co najwyżej</w:t>
      </w:r>
      <w:r w:rsidR="00281E54">
        <w:rPr>
          <w:sz w:val="22"/>
        </w:rPr>
        <w:t xml:space="preserve"> były gotowe zaakceptować tylko niewielkie straty. Byli to m.in. dotychczasowi klienci korzystający z tradycyjnych lokat</w:t>
      </w:r>
      <w:r w:rsidR="007031C3">
        <w:rPr>
          <w:sz w:val="22"/>
        </w:rPr>
        <w:t>,</w:t>
      </w:r>
      <w:r w:rsidR="00281E54">
        <w:rPr>
          <w:sz w:val="22"/>
        </w:rPr>
        <w:t xml:space="preserve"> rachunków oszczędnościowych</w:t>
      </w:r>
      <w:r w:rsidR="007031C3">
        <w:rPr>
          <w:sz w:val="22"/>
        </w:rPr>
        <w:t xml:space="preserve">, </w:t>
      </w:r>
      <w:r w:rsidR="007031C3">
        <w:rPr>
          <w:sz w:val="22"/>
        </w:rPr>
        <w:lastRenderedPageBreak/>
        <w:t xml:space="preserve">lokat strukturyzowanych czy ubezpieczeń na życie z </w:t>
      </w:r>
      <w:proofErr w:type="spellStart"/>
      <w:r w:rsidR="007031C3">
        <w:rPr>
          <w:sz w:val="22"/>
        </w:rPr>
        <w:t>ufk</w:t>
      </w:r>
      <w:proofErr w:type="spellEnd"/>
      <w:r w:rsidR="00281E54">
        <w:rPr>
          <w:sz w:val="22"/>
        </w:rPr>
        <w:t>.</w:t>
      </w:r>
      <w:r w:rsidR="007031C3">
        <w:rPr>
          <w:sz w:val="22"/>
        </w:rPr>
        <w:t xml:space="preserve"> Oprócz </w:t>
      </w:r>
      <w:proofErr w:type="spellStart"/>
      <w:r w:rsidR="007031C3">
        <w:rPr>
          <w:sz w:val="22"/>
        </w:rPr>
        <w:t>missellingu</w:t>
      </w:r>
      <w:proofErr w:type="spellEnd"/>
      <w:r w:rsidR="007031C3">
        <w:rPr>
          <w:sz w:val="22"/>
        </w:rPr>
        <w:t xml:space="preserve"> Idea Bank wprowadzał ich w błąd co do ryzyka inwestycji. Rozpowszechniał bowiem nieprawdziwe informacje o gwarancjach, które rzekomo miały dawać pewność osiągnięcia zysku. Tymczasem fundusze </w:t>
      </w:r>
      <w:proofErr w:type="spellStart"/>
      <w:r w:rsidR="007031C3">
        <w:rPr>
          <w:sz w:val="22"/>
        </w:rPr>
        <w:t>Trigon</w:t>
      </w:r>
      <w:proofErr w:type="spellEnd"/>
      <w:r w:rsidR="007031C3">
        <w:rPr>
          <w:sz w:val="22"/>
        </w:rPr>
        <w:t xml:space="preserve"> Profit NSFIZ zawarły umowy gwarancyjne ze spółką </w:t>
      </w:r>
      <w:proofErr w:type="spellStart"/>
      <w:r w:rsidR="007031C3">
        <w:rPr>
          <w:sz w:val="22"/>
        </w:rPr>
        <w:t>GetBack</w:t>
      </w:r>
      <w:proofErr w:type="spellEnd"/>
      <w:r w:rsidR="007031C3">
        <w:rPr>
          <w:sz w:val="22"/>
        </w:rPr>
        <w:t xml:space="preserve"> (obecnie w restrukturyzacji), która </w:t>
      </w:r>
      <w:r w:rsidR="00253CD2">
        <w:rPr>
          <w:sz w:val="22"/>
        </w:rPr>
        <w:t>m</w:t>
      </w:r>
      <w:r w:rsidR="00BA5D83">
        <w:rPr>
          <w:sz w:val="22"/>
        </w:rPr>
        <w:t>iała</w:t>
      </w:r>
      <w:r w:rsidR="00253CD2">
        <w:rPr>
          <w:sz w:val="22"/>
        </w:rPr>
        <w:t xml:space="preserve"> ogromne kłopoty finansowe.</w:t>
      </w:r>
    </w:p>
    <w:p w14:paraId="3336FBE7" w14:textId="4AC54686" w:rsidR="00253CD2" w:rsidRDefault="00253CD2" w:rsidP="00986C37">
      <w:pPr>
        <w:spacing w:after="100" w:afterAutospacing="1" w:line="372" w:lineRule="auto"/>
        <w:jc w:val="both"/>
        <w:rPr>
          <w:i/>
          <w:sz w:val="22"/>
        </w:rPr>
      </w:pPr>
      <w:r w:rsidRPr="00253CD2">
        <w:rPr>
          <w:i/>
          <w:sz w:val="22"/>
        </w:rPr>
        <w:t>Nie było mowy o wyjątkowo ryzykownym charakterze tego produktu, o czym dowiedziałem się dopiero teraz, gdy okazało się</w:t>
      </w:r>
      <w:r>
        <w:rPr>
          <w:i/>
          <w:sz w:val="22"/>
        </w:rPr>
        <w:t>,</w:t>
      </w:r>
      <w:r w:rsidRPr="00253CD2">
        <w:rPr>
          <w:i/>
          <w:sz w:val="22"/>
        </w:rPr>
        <w:t xml:space="preserve"> że wartość jednostki to ok. 50% ceny nominalnej</w:t>
      </w:r>
      <w:r>
        <w:rPr>
          <w:i/>
          <w:sz w:val="22"/>
        </w:rPr>
        <w:t>,</w:t>
      </w:r>
      <w:r w:rsidRPr="00253CD2">
        <w:rPr>
          <w:i/>
          <w:sz w:val="22"/>
        </w:rPr>
        <w:t xml:space="preserve"> a gwarancje nie są realizowane. Nigdy nie było mowy o możliwości utraty choćby niewielkiej części kapitału</w:t>
      </w:r>
      <w:r>
        <w:rPr>
          <w:i/>
          <w:sz w:val="22"/>
        </w:rPr>
        <w:t xml:space="preserve"> </w:t>
      </w:r>
      <w:r w:rsidRPr="00253CD2">
        <w:rPr>
          <w:sz w:val="22"/>
        </w:rPr>
        <w:t xml:space="preserve">– </w:t>
      </w:r>
      <w:r>
        <w:rPr>
          <w:sz w:val="22"/>
        </w:rPr>
        <w:t>na</w:t>
      </w:r>
      <w:r w:rsidRPr="00253CD2">
        <w:rPr>
          <w:sz w:val="22"/>
        </w:rPr>
        <w:t xml:space="preserve">pisał w skardze do </w:t>
      </w:r>
      <w:r w:rsidR="00931074">
        <w:rPr>
          <w:sz w:val="22"/>
        </w:rPr>
        <w:t>Urzędu</w:t>
      </w:r>
      <w:r w:rsidRPr="00253CD2">
        <w:rPr>
          <w:sz w:val="22"/>
        </w:rPr>
        <w:t xml:space="preserve"> jeden z konsumentów. </w:t>
      </w:r>
    </w:p>
    <w:p w14:paraId="5F6A8B42" w14:textId="3E6B324E" w:rsidR="00D47EF3" w:rsidRDefault="00C85283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931074">
        <w:rPr>
          <w:sz w:val="22"/>
        </w:rPr>
        <w:t xml:space="preserve">Tomasz Chróstny </w:t>
      </w:r>
      <w:r>
        <w:rPr>
          <w:sz w:val="22"/>
        </w:rPr>
        <w:t>nakazał Idea Bank wypłat</w:t>
      </w:r>
      <w:r w:rsidR="00A32EB9">
        <w:rPr>
          <w:sz w:val="22"/>
        </w:rPr>
        <w:t>ę</w:t>
      </w:r>
      <w:r w:rsidR="00366306">
        <w:rPr>
          <w:sz w:val="22"/>
        </w:rPr>
        <w:t xml:space="preserve"> rekompensat wszystkim</w:t>
      </w:r>
      <w:r>
        <w:rPr>
          <w:sz w:val="22"/>
        </w:rPr>
        <w:t xml:space="preserve"> konsumentom, którzy nabyli certyfikaty inwestycyjne emitowane przez </w:t>
      </w:r>
      <w:proofErr w:type="spellStart"/>
      <w:r>
        <w:rPr>
          <w:sz w:val="22"/>
        </w:rPr>
        <w:t>Lartiq</w:t>
      </w:r>
      <w:proofErr w:type="spellEnd"/>
      <w:r>
        <w:rPr>
          <w:sz w:val="22"/>
        </w:rPr>
        <w:t xml:space="preserve"> (dawniej </w:t>
      </w:r>
      <w:proofErr w:type="spellStart"/>
      <w:r>
        <w:rPr>
          <w:sz w:val="22"/>
        </w:rPr>
        <w:t>Trigon</w:t>
      </w:r>
      <w:proofErr w:type="spellEnd"/>
      <w:r>
        <w:rPr>
          <w:sz w:val="22"/>
        </w:rPr>
        <w:t xml:space="preserve">) Profit XXII, XXIII, XXIV NS FIZ. </w:t>
      </w:r>
      <w:r w:rsidR="0086650B">
        <w:rPr>
          <w:sz w:val="22"/>
        </w:rPr>
        <w:t>Każdy z nich otrzyma</w:t>
      </w:r>
      <w:r>
        <w:rPr>
          <w:sz w:val="22"/>
        </w:rPr>
        <w:t xml:space="preserve"> </w:t>
      </w:r>
      <w:r w:rsidRPr="00E1411C">
        <w:rPr>
          <w:sz w:val="22"/>
        </w:rPr>
        <w:t xml:space="preserve">38 tys. zł. </w:t>
      </w:r>
      <w:r w:rsidR="0077023C" w:rsidRPr="00E1411C">
        <w:rPr>
          <w:sz w:val="22"/>
        </w:rPr>
        <w:t>Łącznie spółka ma wypłacić konsumento</w:t>
      </w:r>
      <w:r w:rsidR="00CC7087">
        <w:rPr>
          <w:sz w:val="22"/>
        </w:rPr>
        <w:t xml:space="preserve">m kilkanaście milionów złotych. </w:t>
      </w:r>
      <w:bookmarkStart w:id="0" w:name="_GoBack"/>
      <w:bookmarkEnd w:id="0"/>
      <w:r w:rsidR="0086650B">
        <w:rPr>
          <w:sz w:val="22"/>
        </w:rPr>
        <w:t xml:space="preserve">Idea Bank </w:t>
      </w:r>
      <w:r w:rsidR="00A32EB9">
        <w:rPr>
          <w:sz w:val="22"/>
        </w:rPr>
        <w:t>ma zawiadomić poszkodowanych konsumentów o możliwości wystąpienia o rekompensatę. Ma także zamieścić na swojej stronie internetowej informację o decyzji</w:t>
      </w:r>
      <w:r w:rsidR="00E10B2F">
        <w:rPr>
          <w:sz w:val="22"/>
        </w:rPr>
        <w:t xml:space="preserve"> Prezesa UOKiK wraz ze wskazaniem, że nie zamyka ona konsumentom drogi do indywidualnego dochodzenia roszczeń.</w:t>
      </w:r>
    </w:p>
    <w:p w14:paraId="156D419D" w14:textId="77777777" w:rsidR="00AF0A33" w:rsidRPr="00AF0A33" w:rsidRDefault="00AF0A33" w:rsidP="00986C37">
      <w:pPr>
        <w:spacing w:after="100" w:afterAutospacing="1" w:line="372" w:lineRule="auto"/>
        <w:jc w:val="both"/>
        <w:rPr>
          <w:b/>
          <w:sz w:val="22"/>
        </w:rPr>
      </w:pPr>
      <w:r w:rsidRPr="00AF0A33">
        <w:rPr>
          <w:b/>
          <w:sz w:val="22"/>
        </w:rPr>
        <w:t xml:space="preserve">Ubezpieczenia na życie z </w:t>
      </w:r>
      <w:proofErr w:type="spellStart"/>
      <w:r w:rsidRPr="00AF0A33">
        <w:rPr>
          <w:b/>
          <w:sz w:val="22"/>
        </w:rPr>
        <w:t>ufk</w:t>
      </w:r>
      <w:proofErr w:type="spellEnd"/>
    </w:p>
    <w:p w14:paraId="1B7AE753" w14:textId="514825A0" w:rsidR="00E10B2F" w:rsidRDefault="00AF0A33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 kolejnej decyzji wobec Idea Banku Prezes UOKiK stwierdził nierzetelne informowanie konsumentów o innym bardzo ryzykownym produkcie finansowym. Chodzi o możliwość przystąpienia do ubezpieczeń na życie z </w:t>
      </w:r>
      <w:proofErr w:type="spellStart"/>
      <w:r>
        <w:rPr>
          <w:sz w:val="22"/>
        </w:rPr>
        <w:t>ufk</w:t>
      </w:r>
      <w:proofErr w:type="spellEnd"/>
      <w:r>
        <w:rPr>
          <w:sz w:val="22"/>
        </w:rPr>
        <w:t xml:space="preserve"> angażującymi środki w NS FIZ</w:t>
      </w:r>
      <w:r w:rsidR="00CA6168">
        <w:rPr>
          <w:sz w:val="22"/>
        </w:rPr>
        <w:t xml:space="preserve">. Spółka </w:t>
      </w:r>
      <w:r w:rsidR="009B2E10">
        <w:rPr>
          <w:sz w:val="22"/>
        </w:rPr>
        <w:t>w sposób nierzetelny przekazywała konsumentom informacje o ryzyku związanym</w:t>
      </w:r>
      <w:r w:rsidR="00CA6168">
        <w:rPr>
          <w:sz w:val="22"/>
        </w:rPr>
        <w:t xml:space="preserve"> z taką inwestycją, które polega na możliwości utraty całości lub części pieniędzy, opóźnień w realizacji wykupu, a także nieosiągnięcia zysku</w:t>
      </w:r>
      <w:r w:rsidR="00CA6168" w:rsidRPr="00FA2270">
        <w:rPr>
          <w:sz w:val="22"/>
        </w:rPr>
        <w:t>.</w:t>
      </w:r>
      <w:r w:rsidR="009B2E10" w:rsidRPr="00FA2270">
        <w:rPr>
          <w:sz w:val="22"/>
        </w:rPr>
        <w:t xml:space="preserve"> Jak wynika z reklamacji, pracownicy banku mieli zapewniać konsumentów, że to </w:t>
      </w:r>
      <w:r w:rsidR="009B2E10" w:rsidRPr="00FA2270">
        <w:rPr>
          <w:iCs/>
          <w:sz w:val="22"/>
        </w:rPr>
        <w:t>bezpieczna inwestycja, na której nie można stracić.</w:t>
      </w:r>
    </w:p>
    <w:p w14:paraId="5829C0A8" w14:textId="7483564D" w:rsidR="00253CD2" w:rsidRDefault="00D214A7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Prezes UOKiK Tomasz Chróstny nałożył na Ide</w:t>
      </w:r>
      <w:r w:rsidR="00FE5C85">
        <w:rPr>
          <w:sz w:val="22"/>
        </w:rPr>
        <w:t>a</w:t>
      </w:r>
      <w:r>
        <w:rPr>
          <w:sz w:val="22"/>
        </w:rPr>
        <w:t xml:space="preserve"> Bank ponad 11,5 mln zł (11 511 449 zł)</w:t>
      </w:r>
      <w:r w:rsidR="00FE5C85">
        <w:rPr>
          <w:sz w:val="22"/>
        </w:rPr>
        <w:t xml:space="preserve"> kary</w:t>
      </w:r>
      <w:r>
        <w:rPr>
          <w:sz w:val="22"/>
        </w:rPr>
        <w:t xml:space="preserve">. </w:t>
      </w:r>
      <w:r w:rsidR="003F549C">
        <w:rPr>
          <w:sz w:val="22"/>
        </w:rPr>
        <w:t>Ponadto</w:t>
      </w:r>
      <w:r>
        <w:rPr>
          <w:sz w:val="22"/>
        </w:rPr>
        <w:t xml:space="preserve"> spółka musi poinformować o decyzji na </w:t>
      </w:r>
      <w:r w:rsidR="00881E9E">
        <w:rPr>
          <w:sz w:val="22"/>
        </w:rPr>
        <w:t xml:space="preserve">swojej </w:t>
      </w:r>
      <w:r>
        <w:rPr>
          <w:sz w:val="22"/>
        </w:rPr>
        <w:t>stronie internetowej</w:t>
      </w:r>
      <w:r w:rsidR="00881E9E">
        <w:rPr>
          <w:sz w:val="22"/>
        </w:rPr>
        <w:t>.</w:t>
      </w:r>
    </w:p>
    <w:p w14:paraId="54D0E3F1" w14:textId="77777777" w:rsidR="00881E9E" w:rsidRDefault="00881E9E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Lokata strukturyzowana</w:t>
      </w:r>
    </w:p>
    <w:p w14:paraId="6CC57881" w14:textId="5BB7B358" w:rsidR="00431783" w:rsidRDefault="00881E9E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Do nieprawidłowości skutkujących naruszaniem zbiorowych interesów konsumentów dochodziło też przy oferowaniu przez Idea Bank lokat </w:t>
      </w:r>
      <w:r w:rsidR="003F549C">
        <w:rPr>
          <w:sz w:val="22"/>
        </w:rPr>
        <w:t>strukturyzowanych</w:t>
      </w:r>
      <w:r>
        <w:rPr>
          <w:sz w:val="22"/>
        </w:rPr>
        <w:t xml:space="preserve">. </w:t>
      </w:r>
      <w:r w:rsidR="00B304E5">
        <w:rPr>
          <w:sz w:val="22"/>
        </w:rPr>
        <w:t>W tym przypadku również konsumenci byli wprowadzani w błąd</w:t>
      </w:r>
      <w:r w:rsidR="00B3714D">
        <w:rPr>
          <w:sz w:val="22"/>
        </w:rPr>
        <w:t xml:space="preserve">, </w:t>
      </w:r>
      <w:r w:rsidR="00661278">
        <w:rPr>
          <w:sz w:val="22"/>
        </w:rPr>
        <w:t>m.in</w:t>
      </w:r>
      <w:r w:rsidR="00B3714D">
        <w:rPr>
          <w:sz w:val="22"/>
        </w:rPr>
        <w:t>.</w:t>
      </w:r>
      <w:r w:rsidR="00431783">
        <w:rPr>
          <w:sz w:val="22"/>
        </w:rPr>
        <w:t>:</w:t>
      </w:r>
      <w:r w:rsidR="00B304E5">
        <w:rPr>
          <w:sz w:val="22"/>
        </w:rPr>
        <w:t xml:space="preserve"> </w:t>
      </w:r>
    </w:p>
    <w:p w14:paraId="6EACD28A" w14:textId="77777777" w:rsidR="00431783" w:rsidRPr="00431783" w:rsidRDefault="00B304E5" w:rsidP="00431783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431783">
        <w:rPr>
          <w:sz w:val="22"/>
        </w:rPr>
        <w:t>W dokumencie „Warunki Lokaty Strukturyzowanej” wyeksponowane były informacje o możliwości osiągnięcia zysku w postaci odsetek</w:t>
      </w:r>
      <w:r w:rsidR="00FE73C4" w:rsidRPr="00431783">
        <w:rPr>
          <w:sz w:val="22"/>
        </w:rPr>
        <w:t xml:space="preserve"> kosztem jasnych i czytelnych danych o ryzyku – okolicznościach, w których inwestycja może nie przynieść dochodu, a nawet wygenerować straty. </w:t>
      </w:r>
    </w:p>
    <w:p w14:paraId="7715E4B3" w14:textId="77777777" w:rsidR="00431783" w:rsidRPr="00431783" w:rsidRDefault="00431783" w:rsidP="00431783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</w:t>
      </w:r>
      <w:r w:rsidR="004A18BB" w:rsidRPr="00431783">
        <w:rPr>
          <w:sz w:val="22"/>
        </w:rPr>
        <w:t xml:space="preserve">okument ten był tak zredagowany, że konsumenci mogli odnieść wrażenie, że zawarte w nim parametry umowy są wiążące, podczas gdy jej ostateczne warunki mogą być inne. </w:t>
      </w:r>
    </w:p>
    <w:p w14:paraId="1DF3AEE0" w14:textId="03CBFA8C" w:rsidR="00431783" w:rsidRPr="00FA2270" w:rsidRDefault="00F45E52" w:rsidP="008B25A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431783">
        <w:rPr>
          <w:sz w:val="22"/>
        </w:rPr>
        <w:t xml:space="preserve">Idea Bank zapewniał też, że </w:t>
      </w:r>
      <w:r w:rsidR="004A18BB" w:rsidRPr="00431783">
        <w:rPr>
          <w:sz w:val="22"/>
        </w:rPr>
        <w:t>„</w:t>
      </w:r>
      <w:r w:rsidRPr="00431783">
        <w:rPr>
          <w:sz w:val="22"/>
        </w:rPr>
        <w:t>kwota lokaty</w:t>
      </w:r>
      <w:r w:rsidR="004A18BB" w:rsidRPr="00431783">
        <w:rPr>
          <w:sz w:val="22"/>
        </w:rPr>
        <w:t>”, czyli zainwestowane pieniądze bez odsetek,</w:t>
      </w:r>
      <w:r w:rsidRPr="00431783">
        <w:rPr>
          <w:sz w:val="22"/>
        </w:rPr>
        <w:t xml:space="preserve"> jest objęta </w:t>
      </w:r>
      <w:r w:rsidR="004A18BB" w:rsidRPr="00431783">
        <w:rPr>
          <w:sz w:val="22"/>
        </w:rPr>
        <w:t xml:space="preserve">ochroną Bankowego Funduszu Gwarancyjnego (BFG). W rzeczywistości gwarancje BFG dotyczą jednak wyłącznie „kwoty wykupu”, </w:t>
      </w:r>
      <w:r w:rsidR="006A18C1" w:rsidRPr="00FA2270">
        <w:rPr>
          <w:sz w:val="22"/>
        </w:rPr>
        <w:t>która może być niższa</w:t>
      </w:r>
      <w:r w:rsidR="008B25A4" w:rsidRPr="00FA2270">
        <w:rPr>
          <w:sz w:val="22"/>
        </w:rPr>
        <w:t>.</w:t>
      </w:r>
    </w:p>
    <w:p w14:paraId="288886FE" w14:textId="135E593C" w:rsidR="00CC0A2E" w:rsidRDefault="00CC0A2E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</w:t>
      </w:r>
      <w:r w:rsidR="008B25A4">
        <w:rPr>
          <w:sz w:val="22"/>
        </w:rPr>
        <w:t>nieuczciw</w:t>
      </w:r>
      <w:r>
        <w:rPr>
          <w:sz w:val="22"/>
        </w:rPr>
        <w:t xml:space="preserve">e praktyki Prezes UOKiK nałożył na Idea Bank karę w wysokości ponad 5,7 mln zł (5 750 545 zł). Spółka musi też zamieścić na swojej stronie </w:t>
      </w:r>
      <w:r w:rsidR="006A18C1">
        <w:rPr>
          <w:sz w:val="22"/>
        </w:rPr>
        <w:t xml:space="preserve">informację </w:t>
      </w:r>
      <w:r>
        <w:rPr>
          <w:sz w:val="22"/>
        </w:rPr>
        <w:t>o decyzji.</w:t>
      </w:r>
    </w:p>
    <w:p w14:paraId="18AF79EB" w14:textId="77777777" w:rsidR="00CC0A2E" w:rsidRPr="00CC0A2E" w:rsidRDefault="00CC0A2E" w:rsidP="00CC0A2E">
      <w:pPr>
        <w:spacing w:after="100" w:afterAutospacing="1" w:line="372" w:lineRule="auto"/>
        <w:jc w:val="both"/>
        <w:rPr>
          <w:b/>
          <w:sz w:val="22"/>
        </w:rPr>
      </w:pPr>
      <w:r w:rsidRPr="00CC0A2E">
        <w:rPr>
          <w:b/>
          <w:sz w:val="22"/>
        </w:rPr>
        <w:t>Klauzule niedozwolone</w:t>
      </w:r>
    </w:p>
    <w:p w14:paraId="1EE4F654" w14:textId="77777777" w:rsidR="00CC0A2E" w:rsidRDefault="00435208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Ostatnia decyzja wobec Idea Banku dotyczy niedozwolonych postanowień we wzorcach umów</w:t>
      </w:r>
      <w:r w:rsidR="008B6C63">
        <w:rPr>
          <w:sz w:val="22"/>
        </w:rPr>
        <w:t xml:space="preserve"> </w:t>
      </w:r>
      <w:r w:rsidR="00660A8C">
        <w:rPr>
          <w:sz w:val="22"/>
        </w:rPr>
        <w:t xml:space="preserve">m.in. </w:t>
      </w:r>
      <w:r w:rsidR="008B6C63">
        <w:rPr>
          <w:sz w:val="22"/>
        </w:rPr>
        <w:t>kredytów konsumenckich, rachunków oszczędnościowo-rozliczeniowych</w:t>
      </w:r>
      <w:r w:rsidR="00660A8C">
        <w:rPr>
          <w:sz w:val="22"/>
        </w:rPr>
        <w:t xml:space="preserve"> czy</w:t>
      </w:r>
      <w:r w:rsidR="008B6C63">
        <w:rPr>
          <w:sz w:val="22"/>
        </w:rPr>
        <w:t xml:space="preserve"> kart debetowych</w:t>
      </w:r>
      <w:r w:rsidR="00660A8C">
        <w:rPr>
          <w:sz w:val="22"/>
        </w:rPr>
        <w:t xml:space="preserve"> i kredytowych</w:t>
      </w:r>
      <w:r>
        <w:rPr>
          <w:sz w:val="22"/>
        </w:rPr>
        <w:t xml:space="preserve">. </w:t>
      </w:r>
      <w:r w:rsidR="00F7796E">
        <w:rPr>
          <w:sz w:val="22"/>
        </w:rPr>
        <w:t>Chodzi o tzw. klauzule modyfikacyjne, w których spółka wymienia przyczyny</w:t>
      </w:r>
      <w:r w:rsidR="00A76CF9">
        <w:rPr>
          <w:sz w:val="22"/>
        </w:rPr>
        <w:t xml:space="preserve"> uprawniające j</w:t>
      </w:r>
      <w:r w:rsidR="008B6C63">
        <w:rPr>
          <w:sz w:val="22"/>
        </w:rPr>
        <w:t>ą</w:t>
      </w:r>
      <w:r w:rsidR="00A76CF9">
        <w:rPr>
          <w:sz w:val="22"/>
        </w:rPr>
        <w:t xml:space="preserve"> do zmiany regulaminu lub tabeli opłat i prowizji. </w:t>
      </w:r>
      <w:r w:rsidR="008B6C63">
        <w:rPr>
          <w:sz w:val="22"/>
        </w:rPr>
        <w:t>Są wśród nich m.in. zmiana przepisów, wyroki sądów</w:t>
      </w:r>
      <w:r w:rsidR="00100538">
        <w:rPr>
          <w:sz w:val="22"/>
        </w:rPr>
        <w:t>,</w:t>
      </w:r>
      <w:r w:rsidR="008B6C63">
        <w:rPr>
          <w:sz w:val="22"/>
        </w:rPr>
        <w:t xml:space="preserve"> wprowadzenie przez bank nowych usług</w:t>
      </w:r>
      <w:r w:rsidR="00100538">
        <w:rPr>
          <w:sz w:val="22"/>
        </w:rPr>
        <w:t xml:space="preserve"> czy konieczność </w:t>
      </w:r>
      <w:r w:rsidR="00D1494C">
        <w:rPr>
          <w:sz w:val="22"/>
        </w:rPr>
        <w:t xml:space="preserve">poprawek </w:t>
      </w:r>
      <w:r w:rsidR="00100538">
        <w:rPr>
          <w:sz w:val="22"/>
        </w:rPr>
        <w:t>redakcyjnych</w:t>
      </w:r>
      <w:r w:rsidR="008B6C63">
        <w:rPr>
          <w:sz w:val="22"/>
        </w:rPr>
        <w:t xml:space="preserve">. </w:t>
      </w:r>
    </w:p>
    <w:p w14:paraId="50CAB2B5" w14:textId="77777777" w:rsidR="003F549C" w:rsidRDefault="00D1494C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Kwestionowane klauzule modyfikacyjne znalazły się m.in w umowach na czas określony</w:t>
      </w:r>
      <w:r w:rsidR="0017493B">
        <w:rPr>
          <w:sz w:val="22"/>
        </w:rPr>
        <w:t xml:space="preserve"> np. o kredyt konsumencki</w:t>
      </w:r>
      <w:r w:rsidR="003F549C">
        <w:rPr>
          <w:sz w:val="22"/>
        </w:rPr>
        <w:t xml:space="preserve"> czy kartę kredytową</w:t>
      </w:r>
      <w:r>
        <w:rPr>
          <w:sz w:val="22"/>
        </w:rPr>
        <w:t xml:space="preserve">, w których dochodzi do zadłużenia klienta. </w:t>
      </w:r>
      <w:r w:rsidR="00B36A2D">
        <w:rPr>
          <w:sz w:val="22"/>
        </w:rPr>
        <w:t xml:space="preserve">Zdaniem Prezesa UOKiK takie umowy powinny cechować się trwałością i co do zasady nie mogą być zmieniane. </w:t>
      </w:r>
    </w:p>
    <w:p w14:paraId="48D01FAB" w14:textId="1E70A722" w:rsidR="00100538" w:rsidRDefault="0017493B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Wątpliwości Prezesa UOKiK wzbudziły też klauzule modyfikacyjne w umowach na czas nieokreślony. Są one co prawda dopuszczalne, ale przesłanki do wprowadzania przez Idea Bank zmian zostały</w:t>
      </w:r>
      <w:r w:rsidR="00D1494C">
        <w:rPr>
          <w:sz w:val="22"/>
        </w:rPr>
        <w:t xml:space="preserve"> sformułowane </w:t>
      </w:r>
      <w:r>
        <w:rPr>
          <w:sz w:val="22"/>
        </w:rPr>
        <w:t>zbyt</w:t>
      </w:r>
      <w:r w:rsidR="00D1494C">
        <w:rPr>
          <w:sz w:val="22"/>
        </w:rPr>
        <w:t xml:space="preserve"> ogólnie i pozostawiają spółce dużą swobodę interpretacji.</w:t>
      </w:r>
    </w:p>
    <w:p w14:paraId="735BC08E" w14:textId="77777777" w:rsidR="003E617E" w:rsidRDefault="003E617E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Wszystkie analizowane klauzule modyfikacyjne uprawniały również Idea Bank do jednostronnej zmiany w trakcie trwania umowy postanowień, które mają charakter abuzywny, a takie działanie przedsiębiorcy nie jest dozwolone. </w:t>
      </w:r>
    </w:p>
    <w:p w14:paraId="21F6F4D5" w14:textId="5E766C68" w:rsidR="0017493B" w:rsidRDefault="0017493B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931074">
        <w:rPr>
          <w:sz w:val="22"/>
        </w:rPr>
        <w:t xml:space="preserve">Tomasz Chróstny </w:t>
      </w:r>
      <w:r>
        <w:rPr>
          <w:sz w:val="22"/>
        </w:rPr>
        <w:t>zakazał wykorzystywania zakwestionowanych postanowień umownych</w:t>
      </w:r>
      <w:r w:rsidR="003E617E">
        <w:rPr>
          <w:sz w:val="22"/>
        </w:rPr>
        <w:t xml:space="preserve"> we wzorcach umownych</w:t>
      </w:r>
      <w:r>
        <w:rPr>
          <w:sz w:val="22"/>
        </w:rPr>
        <w:t xml:space="preserve">. </w:t>
      </w:r>
      <w:r w:rsidR="00AF6892">
        <w:rPr>
          <w:sz w:val="22"/>
        </w:rPr>
        <w:t xml:space="preserve">Idea Bank ma obowiązek poinformować o tym wszystkich konsumentów, którzy </w:t>
      </w:r>
      <w:r w:rsidR="004B66C1">
        <w:rPr>
          <w:sz w:val="22"/>
        </w:rPr>
        <w:t>mają takie klauzule w</w:t>
      </w:r>
      <w:r w:rsidR="003E617E">
        <w:rPr>
          <w:sz w:val="22"/>
        </w:rPr>
        <w:t xml:space="preserve"> swoich</w:t>
      </w:r>
      <w:r w:rsidR="004B66C1">
        <w:rPr>
          <w:sz w:val="22"/>
        </w:rPr>
        <w:t xml:space="preserve"> umowach</w:t>
      </w:r>
      <w:r w:rsidR="003E617E">
        <w:rPr>
          <w:sz w:val="22"/>
        </w:rPr>
        <w:t xml:space="preserve"> z bankiem</w:t>
      </w:r>
      <w:r w:rsidR="004B66C1">
        <w:rPr>
          <w:sz w:val="22"/>
        </w:rPr>
        <w:t xml:space="preserve"> oraz </w:t>
      </w:r>
      <w:r w:rsidR="00FE5C85">
        <w:rPr>
          <w:sz w:val="22"/>
        </w:rPr>
        <w:t>zamieścić oświadczenie o decyzji Prezesa UOKiK i jej skutkach na stronie internetowej.</w:t>
      </w:r>
      <w:r w:rsidR="00AF6892">
        <w:rPr>
          <w:sz w:val="22"/>
        </w:rPr>
        <w:t xml:space="preserve"> </w:t>
      </w:r>
    </w:p>
    <w:p w14:paraId="4C9DB6DA" w14:textId="4D4A9F36" w:rsidR="006F3B59" w:rsidRDefault="006F3B59" w:rsidP="00CC0A2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Wszystkie opisane decyzje są nieprawomocne</w:t>
      </w:r>
      <w:r w:rsidR="00556F1D">
        <w:rPr>
          <w:sz w:val="22"/>
        </w:rPr>
        <w:t xml:space="preserve">. </w:t>
      </w:r>
      <w:r>
        <w:rPr>
          <w:sz w:val="22"/>
        </w:rPr>
        <w:t xml:space="preserve">Idea Bank może się od nich odwołać. Po uprawomocnieniu się decyzje Prezesa UOKiK </w:t>
      </w:r>
      <w:r w:rsidR="00556F1D">
        <w:rPr>
          <w:sz w:val="22"/>
        </w:rPr>
        <w:t xml:space="preserve">staną się </w:t>
      </w:r>
      <w:r>
        <w:rPr>
          <w:sz w:val="22"/>
        </w:rPr>
        <w:t xml:space="preserve">prejudykatem. Oznacza to, że </w:t>
      </w:r>
      <w:r w:rsidR="00556F1D">
        <w:rPr>
          <w:sz w:val="22"/>
        </w:rPr>
        <w:t xml:space="preserve">zawarte w nich </w:t>
      </w:r>
      <w:r>
        <w:rPr>
          <w:sz w:val="22"/>
        </w:rPr>
        <w:t xml:space="preserve">ustalenia </w:t>
      </w:r>
      <w:r w:rsidR="00556F1D" w:rsidRPr="00556F1D">
        <w:rPr>
          <w:color w:val="222222"/>
          <w:sz w:val="22"/>
        </w:rPr>
        <w:t xml:space="preserve">dotyczące bezprawności działań </w:t>
      </w:r>
      <w:r w:rsidR="00FA2270">
        <w:rPr>
          <w:color w:val="222222"/>
          <w:sz w:val="22"/>
        </w:rPr>
        <w:t>b</w:t>
      </w:r>
      <w:r w:rsidR="00556F1D" w:rsidRPr="00556F1D">
        <w:rPr>
          <w:color w:val="222222"/>
          <w:sz w:val="22"/>
        </w:rPr>
        <w:t>anku</w:t>
      </w:r>
      <w:r>
        <w:rPr>
          <w:sz w:val="22"/>
        </w:rPr>
        <w:t xml:space="preserve"> </w:t>
      </w:r>
      <w:r w:rsidR="00FA2270">
        <w:rPr>
          <w:sz w:val="22"/>
        </w:rPr>
        <w:t>będ</w:t>
      </w:r>
      <w:r>
        <w:rPr>
          <w:sz w:val="22"/>
        </w:rPr>
        <w:t>ą dla sądu powszechnego wiążące</w:t>
      </w:r>
      <w:r w:rsidR="006A18C1">
        <w:rPr>
          <w:sz w:val="22"/>
        </w:rPr>
        <w:t xml:space="preserve">. </w:t>
      </w:r>
      <w:r w:rsidR="00556F1D">
        <w:rPr>
          <w:sz w:val="22"/>
        </w:rPr>
        <w:t>Dla konsumentów będzie to</w:t>
      </w:r>
      <w:r w:rsidR="006A18C1">
        <w:rPr>
          <w:sz w:val="22"/>
        </w:rPr>
        <w:t xml:space="preserve"> pomocn</w:t>
      </w:r>
      <w:r w:rsidR="00556F1D">
        <w:rPr>
          <w:sz w:val="22"/>
        </w:rPr>
        <w:t>e</w:t>
      </w:r>
      <w:r w:rsidR="006A18C1">
        <w:rPr>
          <w:sz w:val="22"/>
        </w:rPr>
        <w:t xml:space="preserve"> przy dochodzeniu roszczeń</w:t>
      </w:r>
      <w:r w:rsidR="00556F1D">
        <w:rPr>
          <w:sz w:val="22"/>
        </w:rPr>
        <w:t>.</w:t>
      </w:r>
      <w:r>
        <w:rPr>
          <w:sz w:val="22"/>
        </w:rPr>
        <w:t xml:space="preserve"> </w:t>
      </w:r>
    </w:p>
    <w:p w14:paraId="1A1B62ED" w14:textId="77777777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7AEE5E1" w14:textId="77777777" w:rsidR="00017DFD" w:rsidRPr="007143F0" w:rsidRDefault="00017DFD" w:rsidP="00017DF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0" w:history="1">
        <w:r w:rsidRPr="00D14EB6">
          <w:rPr>
            <w:rStyle w:val="Hipercze"/>
            <w:szCs w:val="18"/>
          </w:rPr>
          <w:t>Dlakonsumenta.pl</w:t>
        </w:r>
      </w:hyperlink>
    </w:p>
    <w:sectPr w:rsidR="00017DFD" w:rsidRPr="007143F0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0BF4" w14:textId="77777777" w:rsidR="009E4C64" w:rsidRDefault="009E4C64">
      <w:r>
        <w:separator/>
      </w:r>
    </w:p>
  </w:endnote>
  <w:endnote w:type="continuationSeparator" w:id="0">
    <w:p w14:paraId="2BB0B67D" w14:textId="77777777" w:rsidR="009E4C64" w:rsidRDefault="009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6DF2" w14:textId="77777777" w:rsidR="0059016B" w:rsidRPr="00924ABC" w:rsidRDefault="009E4C6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2CB41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439FA9B" wp14:editId="0F4FC8E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A3B45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C03EB" wp14:editId="4D8EFD5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05AB6FA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F2AA" w14:textId="77777777" w:rsidR="009E4C64" w:rsidRDefault="009E4C64">
      <w:r>
        <w:separator/>
      </w:r>
    </w:p>
  </w:footnote>
  <w:footnote w:type="continuationSeparator" w:id="0">
    <w:p w14:paraId="631CC83C" w14:textId="77777777" w:rsidR="009E4C64" w:rsidRDefault="009E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487B" w14:textId="77777777" w:rsidR="0059016B" w:rsidRDefault="009E4C64" w:rsidP="0041396E">
    <w:pPr>
      <w:pStyle w:val="Nagwek"/>
      <w:tabs>
        <w:tab w:val="clear" w:pos="9072"/>
      </w:tabs>
    </w:pPr>
    <w:r>
      <w:rPr>
        <w:noProof/>
      </w:rPr>
      <w:pict w14:anchorId="1DB46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0A9F"/>
    <w:multiLevelType w:val="hybridMultilevel"/>
    <w:tmpl w:val="3AC4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642"/>
    <w:rsid w:val="0000713A"/>
    <w:rsid w:val="00007E00"/>
    <w:rsid w:val="00011AF2"/>
    <w:rsid w:val="00017DFD"/>
    <w:rsid w:val="00023634"/>
    <w:rsid w:val="00042F96"/>
    <w:rsid w:val="0005548F"/>
    <w:rsid w:val="000651E9"/>
    <w:rsid w:val="00071193"/>
    <w:rsid w:val="00073AA7"/>
    <w:rsid w:val="000A74FA"/>
    <w:rsid w:val="000B149D"/>
    <w:rsid w:val="000B1AC5"/>
    <w:rsid w:val="000B7247"/>
    <w:rsid w:val="00100538"/>
    <w:rsid w:val="0010559C"/>
    <w:rsid w:val="00106AFD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493B"/>
    <w:rsid w:val="00190D5A"/>
    <w:rsid w:val="001915C6"/>
    <w:rsid w:val="001917A7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53CD2"/>
    <w:rsid w:val="00260382"/>
    <w:rsid w:val="00266CB4"/>
    <w:rsid w:val="00267DD1"/>
    <w:rsid w:val="002801AA"/>
    <w:rsid w:val="00281E54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4219"/>
    <w:rsid w:val="00366306"/>
    <w:rsid w:val="00366A46"/>
    <w:rsid w:val="00377A0D"/>
    <w:rsid w:val="0038677D"/>
    <w:rsid w:val="003B5C19"/>
    <w:rsid w:val="003D3FF4"/>
    <w:rsid w:val="003D7161"/>
    <w:rsid w:val="003E3F9D"/>
    <w:rsid w:val="003E617E"/>
    <w:rsid w:val="003E69E5"/>
    <w:rsid w:val="003F549C"/>
    <w:rsid w:val="0040748E"/>
    <w:rsid w:val="00412206"/>
    <w:rsid w:val="00427E08"/>
    <w:rsid w:val="00431783"/>
    <w:rsid w:val="004332DE"/>
    <w:rsid w:val="004349BA"/>
    <w:rsid w:val="00435208"/>
    <w:rsid w:val="0043575C"/>
    <w:rsid w:val="004365C7"/>
    <w:rsid w:val="004425B7"/>
    <w:rsid w:val="00444A85"/>
    <w:rsid w:val="004518D2"/>
    <w:rsid w:val="00462CFA"/>
    <w:rsid w:val="00486DB1"/>
    <w:rsid w:val="00493E10"/>
    <w:rsid w:val="004972E8"/>
    <w:rsid w:val="004A18BB"/>
    <w:rsid w:val="004B66C1"/>
    <w:rsid w:val="004C0F9E"/>
    <w:rsid w:val="004C1243"/>
    <w:rsid w:val="004C5C26"/>
    <w:rsid w:val="004E31E1"/>
    <w:rsid w:val="004F7E97"/>
    <w:rsid w:val="004F7E99"/>
    <w:rsid w:val="005003F9"/>
    <w:rsid w:val="0050417B"/>
    <w:rsid w:val="0051171D"/>
    <w:rsid w:val="005133CE"/>
    <w:rsid w:val="00521BA3"/>
    <w:rsid w:val="00523E0D"/>
    <w:rsid w:val="00525588"/>
    <w:rsid w:val="0052710E"/>
    <w:rsid w:val="0052794F"/>
    <w:rsid w:val="005442FC"/>
    <w:rsid w:val="0055631D"/>
    <w:rsid w:val="00556619"/>
    <w:rsid w:val="00556F1D"/>
    <w:rsid w:val="00593935"/>
    <w:rsid w:val="005973FD"/>
    <w:rsid w:val="00597C68"/>
    <w:rsid w:val="005A382B"/>
    <w:rsid w:val="005A4047"/>
    <w:rsid w:val="005A4A7F"/>
    <w:rsid w:val="005B0F08"/>
    <w:rsid w:val="005C0D39"/>
    <w:rsid w:val="005C6232"/>
    <w:rsid w:val="005D1A55"/>
    <w:rsid w:val="005D6F7A"/>
    <w:rsid w:val="005E78EE"/>
    <w:rsid w:val="005F139F"/>
    <w:rsid w:val="005F1EBD"/>
    <w:rsid w:val="006063D0"/>
    <w:rsid w:val="00613C45"/>
    <w:rsid w:val="00633D4E"/>
    <w:rsid w:val="006343D6"/>
    <w:rsid w:val="0063526F"/>
    <w:rsid w:val="00637E86"/>
    <w:rsid w:val="006422DE"/>
    <w:rsid w:val="006439FA"/>
    <w:rsid w:val="00660A8C"/>
    <w:rsid w:val="00661278"/>
    <w:rsid w:val="0067485D"/>
    <w:rsid w:val="006A18C1"/>
    <w:rsid w:val="006A2065"/>
    <w:rsid w:val="006A3D88"/>
    <w:rsid w:val="006A4A7A"/>
    <w:rsid w:val="006B0848"/>
    <w:rsid w:val="006B733D"/>
    <w:rsid w:val="006B7696"/>
    <w:rsid w:val="006C34AE"/>
    <w:rsid w:val="006C67AF"/>
    <w:rsid w:val="006D3DC5"/>
    <w:rsid w:val="006F143B"/>
    <w:rsid w:val="006F3B59"/>
    <w:rsid w:val="007031C3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023C"/>
    <w:rsid w:val="00776C4F"/>
    <w:rsid w:val="007838E4"/>
    <w:rsid w:val="007846DC"/>
    <w:rsid w:val="007A19D8"/>
    <w:rsid w:val="007E36E4"/>
    <w:rsid w:val="007F0ACE"/>
    <w:rsid w:val="008021A3"/>
    <w:rsid w:val="00802901"/>
    <w:rsid w:val="00804024"/>
    <w:rsid w:val="0081753E"/>
    <w:rsid w:val="0085010E"/>
    <w:rsid w:val="0085454F"/>
    <w:rsid w:val="0086650B"/>
    <w:rsid w:val="00866EB2"/>
    <w:rsid w:val="0087354F"/>
    <w:rsid w:val="00881E9E"/>
    <w:rsid w:val="0089224F"/>
    <w:rsid w:val="00896985"/>
    <w:rsid w:val="008A636D"/>
    <w:rsid w:val="008B25A4"/>
    <w:rsid w:val="008B6C63"/>
    <w:rsid w:val="008C53D0"/>
    <w:rsid w:val="008D527A"/>
    <w:rsid w:val="008D56DA"/>
    <w:rsid w:val="008D5771"/>
    <w:rsid w:val="008E7496"/>
    <w:rsid w:val="008F472E"/>
    <w:rsid w:val="00902556"/>
    <w:rsid w:val="0090338C"/>
    <w:rsid w:val="0091048E"/>
    <w:rsid w:val="00924ABC"/>
    <w:rsid w:val="00931074"/>
    <w:rsid w:val="009329FF"/>
    <w:rsid w:val="00940E8F"/>
    <w:rsid w:val="0095309C"/>
    <w:rsid w:val="009652F2"/>
    <w:rsid w:val="009719ED"/>
    <w:rsid w:val="00986C37"/>
    <w:rsid w:val="00997528"/>
    <w:rsid w:val="0099796A"/>
    <w:rsid w:val="009B2E10"/>
    <w:rsid w:val="009C1346"/>
    <w:rsid w:val="009D05C8"/>
    <w:rsid w:val="009E3C0B"/>
    <w:rsid w:val="009E4C64"/>
    <w:rsid w:val="00A13244"/>
    <w:rsid w:val="00A21E30"/>
    <w:rsid w:val="00A239AA"/>
    <w:rsid w:val="00A32EB9"/>
    <w:rsid w:val="00A439E8"/>
    <w:rsid w:val="00A45753"/>
    <w:rsid w:val="00A45EAB"/>
    <w:rsid w:val="00A53423"/>
    <w:rsid w:val="00A62659"/>
    <w:rsid w:val="00A65F20"/>
    <w:rsid w:val="00A76293"/>
    <w:rsid w:val="00A76CF9"/>
    <w:rsid w:val="00A77DA2"/>
    <w:rsid w:val="00A833B5"/>
    <w:rsid w:val="00A85D9D"/>
    <w:rsid w:val="00A92C4C"/>
    <w:rsid w:val="00AA602D"/>
    <w:rsid w:val="00AB572D"/>
    <w:rsid w:val="00AE2923"/>
    <w:rsid w:val="00AE7F9D"/>
    <w:rsid w:val="00AF0A33"/>
    <w:rsid w:val="00AF6287"/>
    <w:rsid w:val="00AF6892"/>
    <w:rsid w:val="00B028F7"/>
    <w:rsid w:val="00B22863"/>
    <w:rsid w:val="00B304E5"/>
    <w:rsid w:val="00B36A2D"/>
    <w:rsid w:val="00B3714D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5D83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7663"/>
    <w:rsid w:val="00C44768"/>
    <w:rsid w:val="00C63AA8"/>
    <w:rsid w:val="00C7783C"/>
    <w:rsid w:val="00C85283"/>
    <w:rsid w:val="00CA6168"/>
    <w:rsid w:val="00CA6B58"/>
    <w:rsid w:val="00CB1AE6"/>
    <w:rsid w:val="00CB3ED4"/>
    <w:rsid w:val="00CB3F86"/>
    <w:rsid w:val="00CC0A2E"/>
    <w:rsid w:val="00CC7087"/>
    <w:rsid w:val="00CD34F0"/>
    <w:rsid w:val="00CE0954"/>
    <w:rsid w:val="00CF11F7"/>
    <w:rsid w:val="00D1323F"/>
    <w:rsid w:val="00D1494C"/>
    <w:rsid w:val="00D202BA"/>
    <w:rsid w:val="00D214A7"/>
    <w:rsid w:val="00D251AC"/>
    <w:rsid w:val="00D43766"/>
    <w:rsid w:val="00D47CCF"/>
    <w:rsid w:val="00D47EF3"/>
    <w:rsid w:val="00D60F6A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0B2F"/>
    <w:rsid w:val="00E1411C"/>
    <w:rsid w:val="00E24825"/>
    <w:rsid w:val="00E42093"/>
    <w:rsid w:val="00E46753"/>
    <w:rsid w:val="00E522AD"/>
    <w:rsid w:val="00E570E3"/>
    <w:rsid w:val="00E64103"/>
    <w:rsid w:val="00E76CD1"/>
    <w:rsid w:val="00EC065B"/>
    <w:rsid w:val="00EE4AD8"/>
    <w:rsid w:val="00F139AC"/>
    <w:rsid w:val="00F21EAC"/>
    <w:rsid w:val="00F24C6D"/>
    <w:rsid w:val="00F3243D"/>
    <w:rsid w:val="00F45E52"/>
    <w:rsid w:val="00F46D0D"/>
    <w:rsid w:val="00F64CF1"/>
    <w:rsid w:val="00F7796E"/>
    <w:rsid w:val="00F92B59"/>
    <w:rsid w:val="00F948BC"/>
    <w:rsid w:val="00F960CF"/>
    <w:rsid w:val="00FA10A3"/>
    <w:rsid w:val="00FA1226"/>
    <w:rsid w:val="00FA2270"/>
    <w:rsid w:val="00FD09D8"/>
    <w:rsid w:val="00FE1766"/>
    <w:rsid w:val="00FE5C85"/>
    <w:rsid w:val="00FE73C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DFC2E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61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lakonsument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2020-07-09T13:19:00Z</cp:lastPrinted>
  <dcterms:created xsi:type="dcterms:W3CDTF">2020-07-13T16:01:00Z</dcterms:created>
  <dcterms:modified xsi:type="dcterms:W3CDTF">2020-07-14T06:56:00Z</dcterms:modified>
</cp:coreProperties>
</file>