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A2E8A" w14:textId="1223881C" w:rsidR="003F3C31" w:rsidRPr="00D938CB" w:rsidRDefault="009C4579" w:rsidP="003F3C31">
      <w:pPr>
        <w:spacing w:line="360" w:lineRule="auto"/>
        <w:jc w:val="both"/>
        <w:rPr>
          <w:sz w:val="32"/>
          <w:szCs w:val="32"/>
          <w:lang w:val="en-GB"/>
        </w:rPr>
      </w:pPr>
      <w:r w:rsidRPr="00D938CB">
        <w:rPr>
          <w:sz w:val="32"/>
          <w:szCs w:val="32"/>
          <w:lang w:val="en-GB"/>
        </w:rPr>
        <w:t>CREDIT BORROWERS WILL BE REFUNDED AT LEAST PLN 1.5 BILLION - FOLLOWING THE UOKIK’S ACTIVITIES</w:t>
      </w:r>
    </w:p>
    <w:p w14:paraId="260687ED" w14:textId="5A290170" w:rsidR="00082147" w:rsidRPr="00D938CB" w:rsidRDefault="00F1719F" w:rsidP="00164764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b/>
          <w:sz w:val="22"/>
          <w:lang w:val="en-GB"/>
        </w:rPr>
      </w:pPr>
      <w:bookmarkStart w:id="0" w:name="_GoBack"/>
      <w:r w:rsidRPr="00D938CB">
        <w:rPr>
          <w:b/>
          <w:bCs/>
          <w:sz w:val="22"/>
          <w:lang w:val="en-GB"/>
        </w:rPr>
        <w:t xml:space="preserve">14 biggest banks apply the refund of a part of fees charged in the case of an early repayment of a consumer credit using the straight-line method, as advocated by the President of UOKiK. </w:t>
      </w:r>
    </w:p>
    <w:p w14:paraId="136697CB" w14:textId="7228FABA" w:rsidR="007929AF" w:rsidRPr="00D938CB" w:rsidRDefault="007929AF" w:rsidP="00B83DE4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b/>
          <w:sz w:val="22"/>
          <w:lang w:val="en-GB"/>
        </w:rPr>
      </w:pPr>
      <w:r w:rsidRPr="00D938CB">
        <w:rPr>
          <w:b/>
          <w:bCs/>
          <w:sz w:val="22"/>
          <w:lang w:val="en-GB"/>
        </w:rPr>
        <w:t>Visit finanse.uokik.gov.pl and check the estimated refund amount on the UOKiK calculator.</w:t>
      </w:r>
    </w:p>
    <w:p w14:paraId="2F7BD468" w14:textId="31244E79" w:rsidR="007929AF" w:rsidRPr="00D938CB" w:rsidRDefault="007A0A5C" w:rsidP="00C5057E">
      <w:pPr>
        <w:spacing w:after="240" w:line="360" w:lineRule="auto"/>
        <w:jc w:val="both"/>
        <w:rPr>
          <w:sz w:val="22"/>
          <w:lang w:val="en-GB"/>
        </w:rPr>
      </w:pPr>
      <w:r w:rsidRPr="00D938CB">
        <w:rPr>
          <w:b/>
          <w:bCs/>
          <w:sz w:val="22"/>
          <w:lang w:val="en-GB"/>
        </w:rPr>
        <w:t>[Warsaw, 1</w:t>
      </w:r>
      <w:r w:rsidR="00001669">
        <w:rPr>
          <w:b/>
          <w:bCs/>
          <w:sz w:val="22"/>
          <w:lang w:val="en-GB"/>
        </w:rPr>
        <w:t>4</w:t>
      </w:r>
      <w:r w:rsidRPr="00D938CB">
        <w:rPr>
          <w:b/>
          <w:bCs/>
          <w:sz w:val="22"/>
          <w:lang w:val="en-GB"/>
        </w:rPr>
        <w:t xml:space="preserve"> July 2020] </w:t>
      </w:r>
      <w:r w:rsidRPr="00D938CB">
        <w:rPr>
          <w:sz w:val="22"/>
          <w:lang w:val="en-GB"/>
        </w:rPr>
        <w:t xml:space="preserve">The Office of Competition and Consumer Protection already in </w:t>
      </w:r>
      <w:hyperlink r:id="rId8" w:history="1">
        <w:r w:rsidRPr="00D938CB">
          <w:rPr>
            <w:rStyle w:val="Hipercze"/>
            <w:sz w:val="22"/>
            <w:lang w:val="en-GB"/>
          </w:rPr>
          <w:t>2016 issued an opinion</w:t>
        </w:r>
      </w:hyperlink>
      <w:r w:rsidRPr="00D938CB">
        <w:rPr>
          <w:sz w:val="22"/>
          <w:lang w:val="en-GB"/>
        </w:rPr>
        <w:t xml:space="preserve"> that the financial institution should make settlements with the customer in case of early repayment of consumer credit. What is more, in September 2019, this interpretation </w:t>
      </w:r>
      <w:hyperlink r:id="rId9" w:history="1">
        <w:r w:rsidRPr="00D938CB">
          <w:rPr>
            <w:rStyle w:val="Hipercze"/>
            <w:sz w:val="22"/>
            <w:lang w:val="en-GB"/>
          </w:rPr>
          <w:t>was confirmed by the Court of Justice of the European Union</w:t>
        </w:r>
      </w:hyperlink>
      <w:r w:rsidRPr="00D938CB">
        <w:rPr>
          <w:sz w:val="22"/>
          <w:lang w:val="en-GB"/>
        </w:rPr>
        <w:t xml:space="preserve">. – </w:t>
      </w:r>
      <w:r w:rsidRPr="00D938CB">
        <w:rPr>
          <w:i/>
          <w:iCs/>
          <w:sz w:val="22"/>
          <w:lang w:val="en-GB"/>
        </w:rPr>
        <w:t xml:space="preserve">I held a number of meetings with financial sector representatives, during which I argued that a straight-line method should be used to calculate the return, as this method is </w:t>
      </w:r>
      <w:r w:rsidRPr="00D938CB">
        <w:rPr>
          <w:i/>
          <w:iCs/>
          <w:sz w:val="22"/>
          <w:shd w:val="clear" w:color="auto" w:fill="FFFFFF"/>
          <w:lang w:val="en-GB"/>
        </w:rPr>
        <w:t xml:space="preserve">clear, transparent and fair to consumers. I communicated this position to banks and loan companies in the course of my activities. The sector did adopt the straight-line method of settlement as postulated by the Office. I encourage consumers to file a complaint to get their money back as soon as possible </w:t>
      </w:r>
      <w:r w:rsidRPr="00D938CB">
        <w:rPr>
          <w:sz w:val="22"/>
          <w:shd w:val="clear" w:color="auto" w:fill="FFFFFF"/>
          <w:lang w:val="en-GB"/>
        </w:rPr>
        <w:t xml:space="preserve">– says Tomasz Chróstny, the President of UOKiK. </w:t>
      </w:r>
      <w:r w:rsidRPr="00D938CB">
        <w:rPr>
          <w:sz w:val="22"/>
          <w:lang w:val="en-GB"/>
        </w:rPr>
        <w:t>Under the consumer-friendly, straight-line refund method promoted by the Office, the estimated value of return from the sector to consumers will amount to at least PLN 1.5 billion.</w:t>
      </w:r>
    </w:p>
    <w:p w14:paraId="03DB3E98" w14:textId="53E19672" w:rsidR="00F1719F" w:rsidRPr="00D938CB" w:rsidRDefault="007929AF" w:rsidP="00B84F6F">
      <w:pPr>
        <w:spacing w:after="240" w:line="360" w:lineRule="auto"/>
        <w:jc w:val="both"/>
        <w:rPr>
          <w:rFonts w:cs="Segoe UI"/>
          <w:color w:val="000000"/>
          <w:sz w:val="22"/>
          <w:lang w:val="en-GB"/>
        </w:rPr>
      </w:pPr>
      <w:r w:rsidRPr="00D938CB">
        <w:rPr>
          <w:sz w:val="22"/>
          <w:lang w:val="en-GB"/>
        </w:rPr>
        <w:t xml:space="preserve">Customers of 14 banks can count on a proportional refund of fees for an earlier repayment of a consumer credit or loan according to the straight-line method. These are (in alphabetical order): </w:t>
      </w:r>
      <w:r w:rsidRPr="00D938CB">
        <w:rPr>
          <w:b/>
          <w:bCs/>
          <w:sz w:val="22"/>
          <w:lang w:val="en-GB"/>
        </w:rPr>
        <w:t xml:space="preserve">Alior Bank, </w:t>
      </w:r>
      <w:r w:rsidRPr="00D938CB">
        <w:rPr>
          <w:b/>
          <w:bCs/>
          <w:color w:val="000000"/>
          <w:sz w:val="22"/>
          <w:lang w:val="en-GB"/>
        </w:rPr>
        <w:t>BNP Paribas,</w:t>
      </w:r>
      <w:r w:rsidRPr="00D938CB">
        <w:rPr>
          <w:b/>
          <w:bCs/>
          <w:sz w:val="22"/>
          <w:lang w:val="en-GB"/>
        </w:rPr>
        <w:t xml:space="preserve"> Credit Agricole Bank Polska,</w:t>
      </w:r>
      <w:r w:rsidRPr="00D938CB">
        <w:rPr>
          <w:sz w:val="22"/>
          <w:lang w:val="en-GB"/>
        </w:rPr>
        <w:t xml:space="preserve"> </w:t>
      </w:r>
      <w:r w:rsidRPr="00D938CB">
        <w:rPr>
          <w:b/>
          <w:bCs/>
          <w:color w:val="000000"/>
          <w:sz w:val="22"/>
          <w:lang w:val="en-GB"/>
        </w:rPr>
        <w:t>Getin Noble Bank,</w:t>
      </w:r>
      <w:r w:rsidRPr="00D938CB">
        <w:rPr>
          <w:color w:val="000000"/>
          <w:sz w:val="22"/>
          <w:lang w:val="en-GB"/>
        </w:rPr>
        <w:t xml:space="preserve"> </w:t>
      </w:r>
      <w:r w:rsidRPr="00D938CB">
        <w:rPr>
          <w:b/>
          <w:bCs/>
          <w:sz w:val="22"/>
          <w:lang w:val="en-GB"/>
        </w:rPr>
        <w:t>Idea Bank,</w:t>
      </w:r>
      <w:r w:rsidRPr="00D938CB">
        <w:rPr>
          <w:b/>
          <w:bCs/>
          <w:color w:val="000000"/>
          <w:sz w:val="22"/>
          <w:lang w:val="en-GB"/>
        </w:rPr>
        <w:t xml:space="preserve"> </w:t>
      </w:r>
      <w:r w:rsidRPr="00D938CB">
        <w:rPr>
          <w:b/>
          <w:bCs/>
          <w:sz w:val="22"/>
          <w:lang w:val="en-GB"/>
        </w:rPr>
        <w:t>ING Bank Śląski,</w:t>
      </w:r>
      <w:r w:rsidRPr="00D938CB">
        <w:rPr>
          <w:sz w:val="22"/>
          <w:lang w:val="en-GB"/>
        </w:rPr>
        <w:t xml:space="preserve"> </w:t>
      </w:r>
      <w:r w:rsidRPr="00D938CB">
        <w:rPr>
          <w:b/>
          <w:bCs/>
          <w:sz w:val="22"/>
          <w:lang w:val="en-GB"/>
        </w:rPr>
        <w:t xml:space="preserve">mBank, Millennium Bank, Nest Bank, PKO BP, </w:t>
      </w:r>
      <w:r w:rsidRPr="00D938CB">
        <w:rPr>
          <w:b/>
          <w:bCs/>
          <w:color w:val="000000"/>
          <w:sz w:val="22"/>
          <w:lang w:val="en-GB"/>
        </w:rPr>
        <w:t xml:space="preserve">Pekao SA, Santander Bank Polska, </w:t>
      </w:r>
      <w:r w:rsidRPr="00D938CB">
        <w:rPr>
          <w:b/>
          <w:bCs/>
          <w:color w:val="000000" w:themeColor="text1"/>
          <w:sz w:val="22"/>
          <w:lang w:val="en-GB"/>
        </w:rPr>
        <w:t xml:space="preserve">Santander Consumer Bank </w:t>
      </w:r>
      <w:r w:rsidRPr="00D938CB">
        <w:rPr>
          <w:b/>
          <w:bCs/>
          <w:color w:val="000000"/>
          <w:sz w:val="22"/>
          <w:lang w:val="en-GB"/>
        </w:rPr>
        <w:t>and Volkswagen Bank Polska</w:t>
      </w:r>
      <w:r w:rsidRPr="00D938CB">
        <w:rPr>
          <w:b/>
          <w:bCs/>
          <w:sz w:val="22"/>
          <w:lang w:val="en-GB"/>
        </w:rPr>
        <w:t xml:space="preserve">. </w:t>
      </w:r>
    </w:p>
    <w:p w14:paraId="1AC28381" w14:textId="51022C0A" w:rsidR="00571D91" w:rsidRPr="00D938CB" w:rsidRDefault="00BA427A" w:rsidP="00B84F6F">
      <w:pPr>
        <w:spacing w:after="240" w:line="360" w:lineRule="auto"/>
        <w:jc w:val="both"/>
        <w:rPr>
          <w:rFonts w:cs="Tahoma"/>
          <w:sz w:val="22"/>
          <w:lang w:val="en-GB"/>
        </w:rPr>
      </w:pPr>
      <w:r w:rsidRPr="00D938CB">
        <w:rPr>
          <w:rFonts w:cs="Segoe UI"/>
          <w:color w:val="000000"/>
          <w:sz w:val="22"/>
          <w:lang w:val="en-GB"/>
        </w:rPr>
        <w:t xml:space="preserve">We expect that Plus Bank and Bank Handlowy will also promptly adjust their business practices to the Office's recommendations. </w:t>
      </w:r>
    </w:p>
    <w:p w14:paraId="5841E3C1" w14:textId="398B23C3" w:rsidR="00AA6D4D" w:rsidRPr="00D938CB" w:rsidRDefault="00AA6D4D" w:rsidP="00571D91">
      <w:pPr>
        <w:spacing w:after="240" w:line="360" w:lineRule="auto"/>
        <w:jc w:val="both"/>
        <w:rPr>
          <w:rFonts w:cs="Tahoma"/>
          <w:sz w:val="22"/>
          <w:shd w:val="clear" w:color="auto" w:fill="FFFFFF"/>
          <w:lang w:val="en-GB"/>
        </w:rPr>
      </w:pPr>
      <w:r w:rsidRPr="00D938CB">
        <w:rPr>
          <w:rFonts w:cs="Tahoma"/>
          <w:b/>
          <w:bCs/>
          <w:sz w:val="22"/>
          <w:shd w:val="clear" w:color="auto" w:fill="FFFFFF"/>
          <w:lang w:val="en-GB"/>
        </w:rPr>
        <w:t>The straight-line method</w:t>
      </w:r>
      <w:r w:rsidRPr="00D938CB">
        <w:rPr>
          <w:rFonts w:cs="Tahoma"/>
          <w:sz w:val="22"/>
          <w:shd w:val="clear" w:color="auto" w:fill="FFFFFF"/>
          <w:lang w:val="en-GB"/>
        </w:rPr>
        <w:t xml:space="preserve"> is based on the principle that the financial institution </w:t>
      </w:r>
      <w:r w:rsidRPr="00D938CB">
        <w:rPr>
          <w:rStyle w:val="Pogrubienie"/>
          <w:rFonts w:cs="Tahoma"/>
          <w:b w:val="0"/>
          <w:bCs w:val="0"/>
          <w:sz w:val="22"/>
          <w:shd w:val="clear" w:color="auto" w:fill="FFFFFF"/>
          <w:lang w:val="en-GB"/>
        </w:rPr>
        <w:t xml:space="preserve">divides all costs by the number of calendar days during which the contract was to apply. The result is </w:t>
      </w:r>
      <w:r w:rsidRPr="00D938CB">
        <w:rPr>
          <w:rStyle w:val="Pogrubienie"/>
          <w:rFonts w:cs="Tahoma"/>
          <w:b w:val="0"/>
          <w:bCs w:val="0"/>
          <w:sz w:val="22"/>
          <w:shd w:val="clear" w:color="auto" w:fill="FFFFFF"/>
          <w:lang w:val="en-GB"/>
        </w:rPr>
        <w:lastRenderedPageBreak/>
        <w:t>multiplied by the number of days by which the credit period was shortened - and this is the sum that should be returned to the consumer</w:t>
      </w:r>
      <w:r w:rsidRPr="00D938CB">
        <w:rPr>
          <w:rFonts w:cs="Tahoma"/>
          <w:sz w:val="22"/>
          <w:shd w:val="clear" w:color="auto" w:fill="FFFFFF"/>
          <w:lang w:val="en-GB"/>
        </w:rPr>
        <w:t xml:space="preserve">. </w:t>
      </w:r>
    </w:p>
    <w:p w14:paraId="490327C8" w14:textId="2F015D18" w:rsidR="00571D91" w:rsidRPr="00D938CB" w:rsidRDefault="00AA6D4D" w:rsidP="00571D91">
      <w:pPr>
        <w:spacing w:after="240" w:line="360" w:lineRule="auto"/>
        <w:jc w:val="both"/>
        <w:rPr>
          <w:rFonts w:cs="Tahoma"/>
          <w:sz w:val="22"/>
          <w:shd w:val="clear" w:color="auto" w:fill="FFFFFF"/>
          <w:lang w:val="en-GB"/>
        </w:rPr>
      </w:pPr>
      <w:r w:rsidRPr="00D938CB">
        <w:rPr>
          <w:sz w:val="22"/>
          <w:shd w:val="clear" w:color="auto" w:fill="FFFFFF"/>
          <w:lang w:val="en-GB"/>
        </w:rPr>
        <w:t xml:space="preserve">Please note - you may apply for a refund of an earlier repaid consumer credit or loan if you concluded the contract after the entry into force of the Consumer Credit Act, i.e. after </w:t>
      </w:r>
      <w:r w:rsidR="00D938CB" w:rsidRPr="00D938CB">
        <w:rPr>
          <w:sz w:val="22"/>
          <w:shd w:val="clear" w:color="auto" w:fill="FFFFFF"/>
          <w:lang w:val="en-GB"/>
        </w:rPr>
        <w:t>18</w:t>
      </w:r>
      <w:r w:rsidR="00D938CB">
        <w:rPr>
          <w:sz w:val="22"/>
          <w:shd w:val="clear" w:color="auto" w:fill="FFFFFF"/>
          <w:lang w:val="en-GB"/>
        </w:rPr>
        <w:t xml:space="preserve"> </w:t>
      </w:r>
      <w:r w:rsidRPr="00D938CB">
        <w:rPr>
          <w:sz w:val="22"/>
          <w:shd w:val="clear" w:color="auto" w:fill="FFFFFF"/>
          <w:lang w:val="en-GB"/>
        </w:rPr>
        <w:t xml:space="preserve">December 2011. Limitation periods for lodging a claim are </w:t>
      </w:r>
      <w:r w:rsidRPr="00D938CB">
        <w:rPr>
          <w:sz w:val="22"/>
          <w:lang w:val="en-GB"/>
        </w:rPr>
        <w:t>10 years for repayments made before 9 July 2018, and 6 years for repayments made after that date</w:t>
      </w:r>
      <w:r w:rsidRPr="00D938CB">
        <w:rPr>
          <w:sz w:val="22"/>
          <w:shd w:val="clear" w:color="auto" w:fill="FFFFFF"/>
          <w:lang w:val="en-GB"/>
        </w:rPr>
        <w:t>.</w:t>
      </w:r>
    </w:p>
    <w:p w14:paraId="7036715D" w14:textId="1CC5625A" w:rsidR="00AA6D4D" w:rsidRPr="00D938CB" w:rsidRDefault="00AA6D4D" w:rsidP="00571D91">
      <w:pPr>
        <w:spacing w:after="240" w:line="360" w:lineRule="auto"/>
        <w:jc w:val="both"/>
        <w:rPr>
          <w:rFonts w:cs="Tahoma"/>
          <w:sz w:val="22"/>
          <w:shd w:val="clear" w:color="auto" w:fill="FFFFFF"/>
          <w:lang w:val="en-GB"/>
        </w:rPr>
      </w:pPr>
      <w:r w:rsidRPr="00D938CB">
        <w:rPr>
          <w:rFonts w:cs="Tahoma"/>
          <w:sz w:val="22"/>
          <w:shd w:val="clear" w:color="auto" w:fill="FFFFFF"/>
          <w:lang w:val="en-GB"/>
        </w:rPr>
        <w:t xml:space="preserve">You can use our </w:t>
      </w:r>
      <w:hyperlink r:id="rId10" w:history="1">
        <w:r w:rsidRPr="00D938CB">
          <w:rPr>
            <w:rStyle w:val="Hipercze"/>
            <w:rFonts w:cs="Tahoma"/>
            <w:b/>
            <w:bCs/>
            <w:sz w:val="22"/>
            <w:shd w:val="clear" w:color="auto" w:fill="FFFFFF"/>
            <w:lang w:val="en-GB"/>
          </w:rPr>
          <w:t>credit calculator</w:t>
        </w:r>
      </w:hyperlink>
      <w:r w:rsidRPr="00D938CB">
        <w:rPr>
          <w:rFonts w:cs="Tahoma"/>
          <w:sz w:val="22"/>
          <w:shd w:val="clear" w:color="auto" w:fill="FFFFFF"/>
          <w:lang w:val="en-GB"/>
        </w:rPr>
        <w:t xml:space="preserve"> that will help you calculate the estimated amount to be refunded based on the straight-line method. When applying for a refund, you can use the ready-made</w:t>
      </w:r>
      <w:r w:rsidRPr="00D938CB">
        <w:rPr>
          <w:rFonts w:cs="Tahoma"/>
          <w:b/>
          <w:bCs/>
          <w:sz w:val="22"/>
          <w:shd w:val="clear" w:color="auto" w:fill="FFFFFF"/>
          <w:lang w:val="en-GB"/>
        </w:rPr>
        <w:t xml:space="preserve"> </w:t>
      </w:r>
      <w:hyperlink r:id="rId11" w:history="1">
        <w:r w:rsidRPr="00D938CB">
          <w:rPr>
            <w:rStyle w:val="Hipercze"/>
            <w:rFonts w:cs="Tahoma"/>
            <w:b/>
            <w:bCs/>
            <w:sz w:val="22"/>
            <w:shd w:val="clear" w:color="auto" w:fill="FFFFFF"/>
            <w:lang w:val="en-GB"/>
          </w:rPr>
          <w:t>form</w:t>
        </w:r>
      </w:hyperlink>
      <w:r w:rsidRPr="00D938CB">
        <w:rPr>
          <w:rFonts w:cs="Tahoma"/>
          <w:sz w:val="22"/>
          <w:shd w:val="clear" w:color="auto" w:fill="FFFFFF"/>
          <w:lang w:val="en-GB"/>
        </w:rPr>
        <w:t xml:space="preserve"> and send it to a financial institution. </w:t>
      </w:r>
    </w:p>
    <w:p w14:paraId="64BC2851" w14:textId="60528B4B" w:rsidR="00A20F3C" w:rsidRPr="00D938CB" w:rsidRDefault="00A20F3C" w:rsidP="00571D91">
      <w:pPr>
        <w:spacing w:after="240" w:line="360" w:lineRule="auto"/>
        <w:jc w:val="both"/>
        <w:rPr>
          <w:rFonts w:cs="Tahoma"/>
          <w:sz w:val="22"/>
          <w:shd w:val="clear" w:color="auto" w:fill="FFFFFF"/>
          <w:lang w:val="en-GB"/>
        </w:rPr>
      </w:pPr>
      <w:r w:rsidRPr="00D938CB">
        <w:rPr>
          <w:rFonts w:cs="Tahoma"/>
          <w:sz w:val="22"/>
          <w:shd w:val="clear" w:color="auto" w:fill="FFFFFF"/>
          <w:lang w:val="en-GB"/>
        </w:rPr>
        <w:t>Moreover, we encourage you to read UOKiK's position of 2</w:t>
      </w:r>
      <w:r w:rsidRPr="00D938CB">
        <w:rPr>
          <w:rFonts w:cs="Tahoma"/>
          <w:sz w:val="22"/>
          <w:shd w:val="clear" w:color="auto" w:fill="FFFFFF"/>
          <w:vertAlign w:val="superscript"/>
          <w:lang w:val="en-GB"/>
        </w:rPr>
        <w:t xml:space="preserve">nd </w:t>
      </w:r>
      <w:r w:rsidRPr="00D938CB">
        <w:rPr>
          <w:rFonts w:cs="Tahoma"/>
          <w:sz w:val="22"/>
          <w:shd w:val="clear" w:color="auto" w:fill="FFFFFF"/>
          <w:lang w:val="en-GB"/>
        </w:rPr>
        <w:t xml:space="preserve">March 2020, which is available at </w:t>
      </w:r>
      <w:hyperlink r:id="rId12" w:history="1">
        <w:r w:rsidRPr="00D938CB">
          <w:rPr>
            <w:rStyle w:val="Hipercze"/>
            <w:rFonts w:cs="Tahoma"/>
            <w:sz w:val="22"/>
            <w:shd w:val="clear" w:color="auto" w:fill="FFFFFF"/>
            <w:lang w:val="en-GB"/>
          </w:rPr>
          <w:t>finanse.uokik.gov.pl</w:t>
        </w:r>
      </w:hyperlink>
      <w:r w:rsidRPr="00D938CB">
        <w:rPr>
          <w:rFonts w:cs="Tahoma"/>
          <w:sz w:val="22"/>
          <w:shd w:val="clear" w:color="auto" w:fill="FFFFFF"/>
          <w:lang w:val="en-GB"/>
        </w:rPr>
        <w:t xml:space="preserve">. </w:t>
      </w:r>
      <w:bookmarkEnd w:id="0"/>
    </w:p>
    <w:sectPr w:rsidR="00A20F3C" w:rsidRPr="00D938CB" w:rsidSect="008D527A">
      <w:headerReference w:type="default" r:id="rId13"/>
      <w:footerReference w:type="default" r:id="rId14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7F25E" w14:textId="77777777" w:rsidR="007E2CA5" w:rsidRDefault="007E2CA5">
      <w:r>
        <w:separator/>
      </w:r>
    </w:p>
  </w:endnote>
  <w:endnote w:type="continuationSeparator" w:id="0">
    <w:p w14:paraId="0113F53A" w14:textId="77777777" w:rsidR="007E2CA5" w:rsidRDefault="007E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CA107" w14:textId="77777777" w:rsidR="0059016B" w:rsidRPr="00924ABC" w:rsidRDefault="003F3C31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5ADDEAC" wp14:editId="4A441FBC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3282526E" wp14:editId="4CA1055A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76B06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  <w:lang w:val="en"/>
                            </w:rPr>
                            <w:t>PRESS</w:t>
                          </w:r>
                          <w:r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  <w:lang w:val="en"/>
                            </w:rPr>
                            <w:br/>
                            <w:t>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28252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7BE76B06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>
                      <w:rPr>
                        <w:rFonts w:ascii="Segoe UI Black" w:hAnsi="Segoe UI Black"/>
                        <w:color w:val="C77D4C"/>
                        <w:sz w:val="28"/>
                        <w:szCs w:val="28"/>
                        <w:lang w:val="en"/>
                      </w:rPr>
                      <w:t>PRESS</w:t>
                    </w:r>
                    <w:r>
                      <w:rPr>
                        <w:rFonts w:ascii="Segoe UI Black" w:hAnsi="Segoe UI Black"/>
                        <w:color w:val="C77D4C"/>
                        <w:sz w:val="28"/>
                        <w:szCs w:val="28"/>
                        <w:lang w:val="en"/>
                      </w:rPr>
                      <w:br/>
                      <w:t>RELEASE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571ACC" wp14:editId="20ABDA6E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>
      <w:rPr>
        <w:rFonts w:ascii="Segoe UI Semibold" w:hAnsi="Segoe UI Semibold"/>
        <w:color w:val="595959" w:themeColor="text1" w:themeTint="A6"/>
        <w:sz w:val="16"/>
        <w:szCs w:val="16"/>
        <w:lang w:val="en"/>
      </w:rPr>
      <w:t>WWW.UOKiK.GOV.PL   LANDLINE: +48 22 55 60 246    MOBILE: 695 902 088</w:t>
    </w:r>
  </w:p>
  <w:p w14:paraId="59FA5CF0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</w:rPr>
    </w:pPr>
    <w:r>
      <w:rPr>
        <w:rFonts w:ascii="Segoe UI Semibold" w:hAnsi="Segoe UI Semibold" w:cs="Segoe UI Semibold"/>
        <w:color w:val="595959" w:themeColor="text1" w:themeTint="A6"/>
        <w:sz w:val="16"/>
        <w:szCs w:val="16"/>
        <w:lang w:val="en"/>
      </w:rPr>
      <w:t xml:space="preserve">UOKiK Press Office Pl. Powstańców Warszawy 1, 00-950 Warsaw </w:t>
    </w:r>
    <w:r>
      <w:rPr>
        <w:rFonts w:ascii="Segoe UI Semibold" w:hAnsi="Segoe UI Semibold" w:cs="Segoe UI Semibold"/>
        <w:color w:val="595959" w:themeColor="text1" w:themeTint="A6"/>
        <w:sz w:val="16"/>
        <w:szCs w:val="16"/>
        <w:lang w:val="en"/>
      </w:rPr>
      <w:br/>
      <w:t xml:space="preserve">e-mail: </w:t>
    </w:r>
    <w:hyperlink r:id="rId2" w:history="1">
      <w:r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en"/>
        </w:rPr>
        <w:t>biuroprasowe@uokik.gov.pl</w:t>
      </w:r>
    </w:hyperlink>
    <w:r>
      <w:rPr>
        <w:rFonts w:ascii="Segoe UI Semibold" w:hAnsi="Segoe UI Semibold" w:cs="Segoe UI Semibold"/>
        <w:color w:val="595959" w:themeColor="text1" w:themeTint="A6"/>
        <w:sz w:val="16"/>
        <w:szCs w:val="16"/>
        <w:lang w:val="en"/>
      </w:rPr>
      <w:t xml:space="preserve"> Twitter: </w:t>
    </w:r>
    <w:hyperlink r:id="rId3" w:history="1">
      <w:r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en"/>
        </w:rPr>
        <w:t>@</w:t>
      </w:r>
      <w:r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en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8A9EB" w14:textId="77777777" w:rsidR="007E2CA5" w:rsidRDefault="007E2CA5">
      <w:r>
        <w:separator/>
      </w:r>
    </w:p>
  </w:footnote>
  <w:footnote w:type="continuationSeparator" w:id="0">
    <w:p w14:paraId="74FC6A22" w14:textId="77777777" w:rsidR="007E2CA5" w:rsidRDefault="007E2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27A47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1BD8CB27" wp14:editId="66F665D7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6A89C67D" w14:textId="77777777" w:rsidR="0059016B" w:rsidRDefault="007E2CA5" w:rsidP="0041396E">
    <w:pPr>
      <w:pStyle w:val="Nagwek"/>
      <w:tabs>
        <w:tab w:val="clear" w:pos="9072"/>
      </w:tabs>
    </w:pPr>
  </w:p>
  <w:p w14:paraId="42909B4D" w14:textId="77777777" w:rsidR="0059016B" w:rsidRDefault="007E2CA5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04B73"/>
    <w:multiLevelType w:val="multilevel"/>
    <w:tmpl w:val="A4D4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6716C"/>
    <w:multiLevelType w:val="hybridMultilevel"/>
    <w:tmpl w:val="089E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F60CC"/>
    <w:multiLevelType w:val="hybridMultilevel"/>
    <w:tmpl w:val="5A5E55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B11E6"/>
    <w:multiLevelType w:val="hybridMultilevel"/>
    <w:tmpl w:val="8E34E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1669"/>
    <w:rsid w:val="000018D7"/>
    <w:rsid w:val="00002C19"/>
    <w:rsid w:val="000035A0"/>
    <w:rsid w:val="00004AB2"/>
    <w:rsid w:val="0000713A"/>
    <w:rsid w:val="00007E00"/>
    <w:rsid w:val="0001031D"/>
    <w:rsid w:val="00011AF2"/>
    <w:rsid w:val="00023634"/>
    <w:rsid w:val="00042F96"/>
    <w:rsid w:val="0005050A"/>
    <w:rsid w:val="00052274"/>
    <w:rsid w:val="00061526"/>
    <w:rsid w:val="000651E9"/>
    <w:rsid w:val="000715E6"/>
    <w:rsid w:val="00073AA7"/>
    <w:rsid w:val="00082147"/>
    <w:rsid w:val="00083CBD"/>
    <w:rsid w:val="00091C1F"/>
    <w:rsid w:val="000A74FA"/>
    <w:rsid w:val="000B05F6"/>
    <w:rsid w:val="000B149D"/>
    <w:rsid w:val="000B1AC5"/>
    <w:rsid w:val="000B709F"/>
    <w:rsid w:val="000B7247"/>
    <w:rsid w:val="000C2243"/>
    <w:rsid w:val="000C7A51"/>
    <w:rsid w:val="000D1D47"/>
    <w:rsid w:val="000D6647"/>
    <w:rsid w:val="000E0E48"/>
    <w:rsid w:val="000E6F07"/>
    <w:rsid w:val="0010475A"/>
    <w:rsid w:val="0010559C"/>
    <w:rsid w:val="00107844"/>
    <w:rsid w:val="001129AD"/>
    <w:rsid w:val="00113708"/>
    <w:rsid w:val="00120FBD"/>
    <w:rsid w:val="0012424D"/>
    <w:rsid w:val="0013159A"/>
    <w:rsid w:val="00131D51"/>
    <w:rsid w:val="00134D9E"/>
    <w:rsid w:val="00135455"/>
    <w:rsid w:val="00136714"/>
    <w:rsid w:val="00143310"/>
    <w:rsid w:val="00143E5A"/>
    <w:rsid w:val="00144E9C"/>
    <w:rsid w:val="0014568F"/>
    <w:rsid w:val="00161094"/>
    <w:rsid w:val="00163DF9"/>
    <w:rsid w:val="001665C7"/>
    <w:rsid w:val="001666D6"/>
    <w:rsid w:val="00166B5D"/>
    <w:rsid w:val="001675EF"/>
    <w:rsid w:val="0017028A"/>
    <w:rsid w:val="00177F38"/>
    <w:rsid w:val="00190040"/>
    <w:rsid w:val="00190D5A"/>
    <w:rsid w:val="001979B5"/>
    <w:rsid w:val="001A5F7C"/>
    <w:rsid w:val="001A6E5B"/>
    <w:rsid w:val="001A7451"/>
    <w:rsid w:val="001C1187"/>
    <w:rsid w:val="001C1FAD"/>
    <w:rsid w:val="001E188E"/>
    <w:rsid w:val="001E4F92"/>
    <w:rsid w:val="001E6CB0"/>
    <w:rsid w:val="001F4A73"/>
    <w:rsid w:val="00204109"/>
    <w:rsid w:val="00205580"/>
    <w:rsid w:val="002157BB"/>
    <w:rsid w:val="002262B5"/>
    <w:rsid w:val="0023138D"/>
    <w:rsid w:val="0024118E"/>
    <w:rsid w:val="00241BAC"/>
    <w:rsid w:val="00260382"/>
    <w:rsid w:val="00266CB4"/>
    <w:rsid w:val="00267DD1"/>
    <w:rsid w:val="002736E4"/>
    <w:rsid w:val="002765F3"/>
    <w:rsid w:val="002801AA"/>
    <w:rsid w:val="0029292E"/>
    <w:rsid w:val="00292D38"/>
    <w:rsid w:val="00295B34"/>
    <w:rsid w:val="00295B55"/>
    <w:rsid w:val="002A5D69"/>
    <w:rsid w:val="002B1DBF"/>
    <w:rsid w:val="002B6640"/>
    <w:rsid w:val="002C035E"/>
    <w:rsid w:val="002C0D5D"/>
    <w:rsid w:val="002C235D"/>
    <w:rsid w:val="002C692D"/>
    <w:rsid w:val="002C6ABE"/>
    <w:rsid w:val="002E0FB9"/>
    <w:rsid w:val="002E388C"/>
    <w:rsid w:val="002E75A9"/>
    <w:rsid w:val="002F1BF3"/>
    <w:rsid w:val="002F2118"/>
    <w:rsid w:val="002F4D43"/>
    <w:rsid w:val="00302A12"/>
    <w:rsid w:val="003056C6"/>
    <w:rsid w:val="0030694E"/>
    <w:rsid w:val="003112B2"/>
    <w:rsid w:val="00311B14"/>
    <w:rsid w:val="00324306"/>
    <w:rsid w:val="00326A49"/>
    <w:rsid w:val="003278D6"/>
    <w:rsid w:val="003303F0"/>
    <w:rsid w:val="003352BD"/>
    <w:rsid w:val="0034059B"/>
    <w:rsid w:val="00343094"/>
    <w:rsid w:val="00344D94"/>
    <w:rsid w:val="0034668E"/>
    <w:rsid w:val="0035019C"/>
    <w:rsid w:val="00352586"/>
    <w:rsid w:val="00360248"/>
    <w:rsid w:val="00366A46"/>
    <w:rsid w:val="00377A0D"/>
    <w:rsid w:val="00377CF8"/>
    <w:rsid w:val="0038677D"/>
    <w:rsid w:val="003928F6"/>
    <w:rsid w:val="003A4A69"/>
    <w:rsid w:val="003D3FF4"/>
    <w:rsid w:val="003D60A6"/>
    <w:rsid w:val="003D61F2"/>
    <w:rsid w:val="003D7161"/>
    <w:rsid w:val="003D7B69"/>
    <w:rsid w:val="003E3F9D"/>
    <w:rsid w:val="003E69E5"/>
    <w:rsid w:val="003F3C31"/>
    <w:rsid w:val="0040748E"/>
    <w:rsid w:val="00412206"/>
    <w:rsid w:val="00423F92"/>
    <w:rsid w:val="00427E08"/>
    <w:rsid w:val="004349BA"/>
    <w:rsid w:val="0043575C"/>
    <w:rsid w:val="004365C7"/>
    <w:rsid w:val="00436DF6"/>
    <w:rsid w:val="00437609"/>
    <w:rsid w:val="004425B7"/>
    <w:rsid w:val="00444A85"/>
    <w:rsid w:val="004459ED"/>
    <w:rsid w:val="00462CFA"/>
    <w:rsid w:val="0046683F"/>
    <w:rsid w:val="0047315F"/>
    <w:rsid w:val="00486DB1"/>
    <w:rsid w:val="00493E10"/>
    <w:rsid w:val="004944F7"/>
    <w:rsid w:val="004972E8"/>
    <w:rsid w:val="004C0F9E"/>
    <w:rsid w:val="004C1243"/>
    <w:rsid w:val="004C5C26"/>
    <w:rsid w:val="004D214B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1011"/>
    <w:rsid w:val="0055631D"/>
    <w:rsid w:val="00571D91"/>
    <w:rsid w:val="00583276"/>
    <w:rsid w:val="0059219A"/>
    <w:rsid w:val="00593935"/>
    <w:rsid w:val="00595636"/>
    <w:rsid w:val="005973FD"/>
    <w:rsid w:val="00597C68"/>
    <w:rsid w:val="005A0B3A"/>
    <w:rsid w:val="005A382B"/>
    <w:rsid w:val="005A4047"/>
    <w:rsid w:val="005C0D39"/>
    <w:rsid w:val="005C6232"/>
    <w:rsid w:val="005D6F7A"/>
    <w:rsid w:val="005D71EB"/>
    <w:rsid w:val="005E78EE"/>
    <w:rsid w:val="005F139F"/>
    <w:rsid w:val="005F1EBD"/>
    <w:rsid w:val="006063D0"/>
    <w:rsid w:val="006103FA"/>
    <w:rsid w:val="00613BD2"/>
    <w:rsid w:val="00613C45"/>
    <w:rsid w:val="0062000D"/>
    <w:rsid w:val="00633D4E"/>
    <w:rsid w:val="0063526F"/>
    <w:rsid w:val="00637E86"/>
    <w:rsid w:val="006422DE"/>
    <w:rsid w:val="006439FA"/>
    <w:rsid w:val="00655083"/>
    <w:rsid w:val="0067485D"/>
    <w:rsid w:val="0069527B"/>
    <w:rsid w:val="00696DB2"/>
    <w:rsid w:val="006A2065"/>
    <w:rsid w:val="006A3D88"/>
    <w:rsid w:val="006A4A7A"/>
    <w:rsid w:val="006B0848"/>
    <w:rsid w:val="006B628A"/>
    <w:rsid w:val="006B733D"/>
    <w:rsid w:val="006C34AE"/>
    <w:rsid w:val="006C67AF"/>
    <w:rsid w:val="006D3DC5"/>
    <w:rsid w:val="006E023A"/>
    <w:rsid w:val="006F00D1"/>
    <w:rsid w:val="006F143B"/>
    <w:rsid w:val="007039EC"/>
    <w:rsid w:val="007043F3"/>
    <w:rsid w:val="0071572D"/>
    <w:rsid w:val="007157BA"/>
    <w:rsid w:val="007169F9"/>
    <w:rsid w:val="007174A6"/>
    <w:rsid w:val="007224B3"/>
    <w:rsid w:val="00722B4A"/>
    <w:rsid w:val="0072524C"/>
    <w:rsid w:val="00731303"/>
    <w:rsid w:val="00733EB7"/>
    <w:rsid w:val="00740042"/>
    <w:rsid w:val="007402E0"/>
    <w:rsid w:val="007408B3"/>
    <w:rsid w:val="0074489D"/>
    <w:rsid w:val="00750DA4"/>
    <w:rsid w:val="007514AD"/>
    <w:rsid w:val="0075524D"/>
    <w:rsid w:val="007560B0"/>
    <w:rsid w:val="007627D7"/>
    <w:rsid w:val="00776C4F"/>
    <w:rsid w:val="007838E4"/>
    <w:rsid w:val="007846DC"/>
    <w:rsid w:val="00787F97"/>
    <w:rsid w:val="007929AF"/>
    <w:rsid w:val="007A0A5C"/>
    <w:rsid w:val="007A19D8"/>
    <w:rsid w:val="007A1DA1"/>
    <w:rsid w:val="007B309F"/>
    <w:rsid w:val="007B7A18"/>
    <w:rsid w:val="007C5447"/>
    <w:rsid w:val="007D62ED"/>
    <w:rsid w:val="007E2CA5"/>
    <w:rsid w:val="007E36E4"/>
    <w:rsid w:val="007F0346"/>
    <w:rsid w:val="007F0ACE"/>
    <w:rsid w:val="007F7BEF"/>
    <w:rsid w:val="00804024"/>
    <w:rsid w:val="0081303E"/>
    <w:rsid w:val="0081753E"/>
    <w:rsid w:val="00836BDE"/>
    <w:rsid w:val="0084239D"/>
    <w:rsid w:val="0085010E"/>
    <w:rsid w:val="0085454F"/>
    <w:rsid w:val="00855B96"/>
    <w:rsid w:val="00862BA9"/>
    <w:rsid w:val="00863DEC"/>
    <w:rsid w:val="008713FC"/>
    <w:rsid w:val="0087354F"/>
    <w:rsid w:val="00874A84"/>
    <w:rsid w:val="00882D34"/>
    <w:rsid w:val="0089603B"/>
    <w:rsid w:val="00896985"/>
    <w:rsid w:val="008C45B5"/>
    <w:rsid w:val="008C53D0"/>
    <w:rsid w:val="008C5D7A"/>
    <w:rsid w:val="008D527A"/>
    <w:rsid w:val="008D56DA"/>
    <w:rsid w:val="008D5771"/>
    <w:rsid w:val="008F472E"/>
    <w:rsid w:val="00902556"/>
    <w:rsid w:val="0090338C"/>
    <w:rsid w:val="0091048E"/>
    <w:rsid w:val="00913E83"/>
    <w:rsid w:val="00924ABC"/>
    <w:rsid w:val="0093155C"/>
    <w:rsid w:val="00934386"/>
    <w:rsid w:val="00940E8F"/>
    <w:rsid w:val="0095309C"/>
    <w:rsid w:val="009652F2"/>
    <w:rsid w:val="009719ED"/>
    <w:rsid w:val="00986C37"/>
    <w:rsid w:val="009935C9"/>
    <w:rsid w:val="00997528"/>
    <w:rsid w:val="0099796A"/>
    <w:rsid w:val="009A463F"/>
    <w:rsid w:val="009B1C15"/>
    <w:rsid w:val="009B4C89"/>
    <w:rsid w:val="009C1346"/>
    <w:rsid w:val="009C42EF"/>
    <w:rsid w:val="009C4579"/>
    <w:rsid w:val="009C74F3"/>
    <w:rsid w:val="009D05C8"/>
    <w:rsid w:val="009D50EC"/>
    <w:rsid w:val="009D6444"/>
    <w:rsid w:val="009D6620"/>
    <w:rsid w:val="009E3C0B"/>
    <w:rsid w:val="009F1362"/>
    <w:rsid w:val="00A13244"/>
    <w:rsid w:val="00A132A4"/>
    <w:rsid w:val="00A134F9"/>
    <w:rsid w:val="00A20F3C"/>
    <w:rsid w:val="00A20FCA"/>
    <w:rsid w:val="00A239AA"/>
    <w:rsid w:val="00A25C11"/>
    <w:rsid w:val="00A34948"/>
    <w:rsid w:val="00A439E8"/>
    <w:rsid w:val="00A45753"/>
    <w:rsid w:val="00A53423"/>
    <w:rsid w:val="00A62659"/>
    <w:rsid w:val="00A65F20"/>
    <w:rsid w:val="00A76293"/>
    <w:rsid w:val="00A77DA2"/>
    <w:rsid w:val="00A85D9D"/>
    <w:rsid w:val="00A90C6B"/>
    <w:rsid w:val="00A91DBF"/>
    <w:rsid w:val="00A92C4C"/>
    <w:rsid w:val="00AA602D"/>
    <w:rsid w:val="00AA6D4D"/>
    <w:rsid w:val="00AB572D"/>
    <w:rsid w:val="00AD2A00"/>
    <w:rsid w:val="00AD3316"/>
    <w:rsid w:val="00AD5C6D"/>
    <w:rsid w:val="00AE2923"/>
    <w:rsid w:val="00AE7F9D"/>
    <w:rsid w:val="00AF7D2D"/>
    <w:rsid w:val="00B028F7"/>
    <w:rsid w:val="00B05D17"/>
    <w:rsid w:val="00B22863"/>
    <w:rsid w:val="00B41502"/>
    <w:rsid w:val="00B51024"/>
    <w:rsid w:val="00B60CD8"/>
    <w:rsid w:val="00B60F9C"/>
    <w:rsid w:val="00B6769E"/>
    <w:rsid w:val="00B7346D"/>
    <w:rsid w:val="00B73F22"/>
    <w:rsid w:val="00B76F4D"/>
    <w:rsid w:val="00B76F9A"/>
    <w:rsid w:val="00B810B2"/>
    <w:rsid w:val="00B82B48"/>
    <w:rsid w:val="00B83DE4"/>
    <w:rsid w:val="00B84F6F"/>
    <w:rsid w:val="00B86F30"/>
    <w:rsid w:val="00B8770F"/>
    <w:rsid w:val="00B928F4"/>
    <w:rsid w:val="00B950BA"/>
    <w:rsid w:val="00BA26F7"/>
    <w:rsid w:val="00BA427A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03289"/>
    <w:rsid w:val="00C0525B"/>
    <w:rsid w:val="00C123B1"/>
    <w:rsid w:val="00C21071"/>
    <w:rsid w:val="00C2398C"/>
    <w:rsid w:val="00C25569"/>
    <w:rsid w:val="00C27366"/>
    <w:rsid w:val="00C40E45"/>
    <w:rsid w:val="00C4514E"/>
    <w:rsid w:val="00C5027E"/>
    <w:rsid w:val="00C5057E"/>
    <w:rsid w:val="00C52FFC"/>
    <w:rsid w:val="00C5684C"/>
    <w:rsid w:val="00C63AA8"/>
    <w:rsid w:val="00C67D30"/>
    <w:rsid w:val="00C7783C"/>
    <w:rsid w:val="00C869AB"/>
    <w:rsid w:val="00CA1097"/>
    <w:rsid w:val="00CA6B58"/>
    <w:rsid w:val="00CB1AE6"/>
    <w:rsid w:val="00CB3ED4"/>
    <w:rsid w:val="00CB3F86"/>
    <w:rsid w:val="00CC5A29"/>
    <w:rsid w:val="00CD34F0"/>
    <w:rsid w:val="00CD3C16"/>
    <w:rsid w:val="00CD5FE7"/>
    <w:rsid w:val="00CE0954"/>
    <w:rsid w:val="00CF11F7"/>
    <w:rsid w:val="00CF2646"/>
    <w:rsid w:val="00D05112"/>
    <w:rsid w:val="00D13212"/>
    <w:rsid w:val="00D1323F"/>
    <w:rsid w:val="00D202BA"/>
    <w:rsid w:val="00D251AC"/>
    <w:rsid w:val="00D25FBF"/>
    <w:rsid w:val="00D3402A"/>
    <w:rsid w:val="00D43766"/>
    <w:rsid w:val="00D47CCF"/>
    <w:rsid w:val="00D56103"/>
    <w:rsid w:val="00D6457B"/>
    <w:rsid w:val="00D66DEC"/>
    <w:rsid w:val="00D71A41"/>
    <w:rsid w:val="00D768A4"/>
    <w:rsid w:val="00D90028"/>
    <w:rsid w:val="00D91E49"/>
    <w:rsid w:val="00D92F52"/>
    <w:rsid w:val="00D93242"/>
    <w:rsid w:val="00D938CB"/>
    <w:rsid w:val="00DA753F"/>
    <w:rsid w:val="00DC182C"/>
    <w:rsid w:val="00DC5754"/>
    <w:rsid w:val="00DD34A3"/>
    <w:rsid w:val="00DD6056"/>
    <w:rsid w:val="00DE7C6A"/>
    <w:rsid w:val="00DF1BA2"/>
    <w:rsid w:val="00DF2857"/>
    <w:rsid w:val="00DF6EFD"/>
    <w:rsid w:val="00DF782B"/>
    <w:rsid w:val="00E03AEF"/>
    <w:rsid w:val="00E044B9"/>
    <w:rsid w:val="00E102DE"/>
    <w:rsid w:val="00E20DB1"/>
    <w:rsid w:val="00E247A1"/>
    <w:rsid w:val="00E24825"/>
    <w:rsid w:val="00E42093"/>
    <w:rsid w:val="00E45FE0"/>
    <w:rsid w:val="00E4729A"/>
    <w:rsid w:val="00E478C0"/>
    <w:rsid w:val="00E522AD"/>
    <w:rsid w:val="00E64103"/>
    <w:rsid w:val="00E76CD1"/>
    <w:rsid w:val="00E94F07"/>
    <w:rsid w:val="00EA20EC"/>
    <w:rsid w:val="00EA36D7"/>
    <w:rsid w:val="00EB18B9"/>
    <w:rsid w:val="00ED73B0"/>
    <w:rsid w:val="00EE4AD8"/>
    <w:rsid w:val="00F139AC"/>
    <w:rsid w:val="00F1719F"/>
    <w:rsid w:val="00F21EAC"/>
    <w:rsid w:val="00F3243D"/>
    <w:rsid w:val="00F46D0D"/>
    <w:rsid w:val="00F90470"/>
    <w:rsid w:val="00F92B59"/>
    <w:rsid w:val="00F948BC"/>
    <w:rsid w:val="00F94B66"/>
    <w:rsid w:val="00F960CF"/>
    <w:rsid w:val="00FA10A3"/>
    <w:rsid w:val="00FA1226"/>
    <w:rsid w:val="00FA1824"/>
    <w:rsid w:val="00FD09D8"/>
    <w:rsid w:val="00FE2854"/>
    <w:rsid w:val="00FE665B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A4E1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3F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3F92"/>
    <w:rPr>
      <w:rFonts w:ascii="Trebuchet MS" w:eastAsia="Times New Roman" w:hAnsi="Trebuchet MS" w:cs="Times New Roman"/>
      <w:sz w:val="18"/>
    </w:rPr>
  </w:style>
  <w:style w:type="paragraph" w:customStyle="1" w:styleId="mcntmcntmsonormal">
    <w:name w:val="mcntmcntmsonormal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sobodytext2">
    <w:name w:val="mcntmcntmsobodytext2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socommenttext">
    <w:name w:val="mcntmcntmsocommenttext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4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46D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46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410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3155C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2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download.php?plik=1792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nanse.uokik.gov.pl/kredyty-konsumenckie/stanowisko-prezesa-uokik-ws-interpretacji-art-49-ustawy-o-kredycie-konsumenckim-w-kontekscie-wyroku-tsu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kik.gov.pl/download.php?id=1937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inanse.uokik.gov.pl/kalkula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kik.gov.pl/news.php?news_id=1577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BB67C-CECA-4B63-9569-B1E96BE4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Agnieszka Orlińska</cp:lastModifiedBy>
  <cp:revision>10</cp:revision>
  <cp:lastPrinted>2020-02-27T14:50:00Z</cp:lastPrinted>
  <dcterms:created xsi:type="dcterms:W3CDTF">2020-07-09T17:50:00Z</dcterms:created>
  <dcterms:modified xsi:type="dcterms:W3CDTF">2020-07-14T12:15:00Z</dcterms:modified>
</cp:coreProperties>
</file>