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13" w:rsidRPr="00E67F0D" w:rsidRDefault="00852121" w:rsidP="005F74CC">
      <w:pPr>
        <w:spacing w:after="240" w:line="360" w:lineRule="auto"/>
        <w:jc w:val="both"/>
        <w:rPr>
          <w:sz w:val="32"/>
          <w:szCs w:val="32"/>
          <w:lang w:val="en-US"/>
        </w:rPr>
      </w:pPr>
      <w:r w:rsidRPr="00E67F0D">
        <w:rPr>
          <w:sz w:val="32"/>
          <w:szCs w:val="32"/>
          <w:lang w:val="en-US"/>
        </w:rPr>
        <w:t>THE INVESTMENT CONTROL REGULATIONS ENTER INTO FORCE</w:t>
      </w:r>
    </w:p>
    <w:p w:rsidR="00F94710" w:rsidRPr="00E67F0D" w:rsidRDefault="00FD3279" w:rsidP="00D5458F">
      <w:pPr>
        <w:pStyle w:val="Akapitzlist"/>
        <w:numPr>
          <w:ilvl w:val="0"/>
          <w:numId w:val="21"/>
        </w:numPr>
        <w:spacing w:after="240" w:line="360" w:lineRule="auto"/>
        <w:jc w:val="both"/>
        <w:rPr>
          <w:lang w:val="en-US"/>
        </w:rPr>
      </w:pPr>
      <w:bookmarkStart w:id="0" w:name="_GoBack"/>
      <w:r w:rsidRPr="00E67F0D">
        <w:rPr>
          <w:b/>
          <w:bCs/>
          <w:sz w:val="22"/>
          <w:lang w:val="en-US"/>
        </w:rPr>
        <w:t>On 24</w:t>
      </w:r>
      <w:r w:rsidRPr="00E67F0D">
        <w:rPr>
          <w:b/>
          <w:bCs/>
          <w:sz w:val="22"/>
          <w:vertAlign w:val="superscript"/>
          <w:lang w:val="en-US"/>
        </w:rPr>
        <w:t xml:space="preserve">th </w:t>
      </w:r>
      <w:r w:rsidRPr="00E67F0D">
        <w:rPr>
          <w:b/>
          <w:bCs/>
          <w:sz w:val="22"/>
          <w:lang w:val="en-US"/>
        </w:rPr>
        <w:t>July, new investment control regulations c</w:t>
      </w:r>
      <w:r w:rsidR="00E67F0D" w:rsidRPr="00E67F0D">
        <w:rPr>
          <w:b/>
          <w:bCs/>
          <w:sz w:val="22"/>
          <w:lang w:val="en-US"/>
        </w:rPr>
        <w:t>a</w:t>
      </w:r>
      <w:r w:rsidRPr="00E67F0D">
        <w:rPr>
          <w:b/>
          <w:bCs/>
          <w:sz w:val="22"/>
          <w:lang w:val="en-US"/>
        </w:rPr>
        <w:t xml:space="preserve">me into force. The President of </w:t>
      </w:r>
      <w:proofErr w:type="spellStart"/>
      <w:r w:rsidRPr="00E67F0D">
        <w:rPr>
          <w:b/>
          <w:bCs/>
          <w:sz w:val="22"/>
          <w:lang w:val="en-US"/>
        </w:rPr>
        <w:t>UOKiK</w:t>
      </w:r>
      <w:proofErr w:type="spellEnd"/>
      <w:r w:rsidRPr="00E67F0D">
        <w:rPr>
          <w:b/>
          <w:bCs/>
          <w:sz w:val="22"/>
          <w:lang w:val="en-US"/>
        </w:rPr>
        <w:t xml:space="preserve"> </w:t>
      </w:r>
      <w:r w:rsidR="00E67F0D">
        <w:rPr>
          <w:b/>
          <w:bCs/>
          <w:sz w:val="22"/>
          <w:lang w:val="en-US"/>
        </w:rPr>
        <w:t>is</w:t>
      </w:r>
      <w:r w:rsidRPr="00E67F0D">
        <w:rPr>
          <w:b/>
          <w:bCs/>
          <w:sz w:val="22"/>
          <w:lang w:val="en-US"/>
        </w:rPr>
        <w:t xml:space="preserve"> able to protect Polish companies that are of critical importance to order, security or public health.</w:t>
      </w:r>
    </w:p>
    <w:p w:rsidR="003929E8" w:rsidRPr="00E67F0D" w:rsidRDefault="00104E4E" w:rsidP="009B66D9">
      <w:pPr>
        <w:pStyle w:val="Akapitzlist"/>
        <w:numPr>
          <w:ilvl w:val="0"/>
          <w:numId w:val="21"/>
        </w:numPr>
        <w:spacing w:after="240" w:line="360" w:lineRule="auto"/>
        <w:jc w:val="both"/>
        <w:rPr>
          <w:b/>
          <w:lang w:val="en-US"/>
        </w:rPr>
      </w:pPr>
      <w:r w:rsidRPr="00E67F0D">
        <w:rPr>
          <w:b/>
          <w:bCs/>
          <w:sz w:val="22"/>
          <w:lang w:val="en-US"/>
        </w:rPr>
        <w:t xml:space="preserve">The </w:t>
      </w:r>
      <w:proofErr w:type="spellStart"/>
      <w:r w:rsidRPr="00E67F0D">
        <w:rPr>
          <w:b/>
          <w:bCs/>
          <w:sz w:val="22"/>
          <w:lang w:val="en-US"/>
        </w:rPr>
        <w:t>UOKiK</w:t>
      </w:r>
      <w:proofErr w:type="spellEnd"/>
      <w:r w:rsidRPr="00E67F0D">
        <w:rPr>
          <w:b/>
          <w:bCs/>
          <w:sz w:val="22"/>
          <w:lang w:val="en-US"/>
        </w:rPr>
        <w:t xml:space="preserve"> has published a document that guides potential investors on how they should report a transaction.</w:t>
      </w:r>
    </w:p>
    <w:p w:rsidR="009F7F3A" w:rsidRPr="00E67F0D" w:rsidRDefault="00723613" w:rsidP="005F74CC">
      <w:pPr>
        <w:spacing w:after="240" w:line="360" w:lineRule="auto"/>
        <w:jc w:val="both"/>
        <w:rPr>
          <w:sz w:val="22"/>
          <w:lang w:val="en-US"/>
        </w:rPr>
      </w:pPr>
      <w:r w:rsidRPr="00E67F0D">
        <w:rPr>
          <w:b/>
          <w:bCs/>
          <w:sz w:val="22"/>
          <w:lang w:val="en-US"/>
        </w:rPr>
        <w:t>[Warsaw, 2</w:t>
      </w:r>
      <w:r w:rsidR="00E67F0D">
        <w:rPr>
          <w:b/>
          <w:bCs/>
          <w:sz w:val="22"/>
          <w:lang w:val="en-US"/>
        </w:rPr>
        <w:t>7</w:t>
      </w:r>
      <w:r w:rsidRPr="00E67F0D">
        <w:rPr>
          <w:b/>
          <w:bCs/>
          <w:sz w:val="22"/>
          <w:lang w:val="en-US"/>
        </w:rPr>
        <w:t xml:space="preserve"> July]</w:t>
      </w:r>
      <w:r w:rsidRPr="00E67F0D">
        <w:rPr>
          <w:sz w:val="22"/>
          <w:lang w:val="en-US"/>
        </w:rPr>
        <w:t xml:space="preserve"> The new law on investment control is part of the government's </w:t>
      </w:r>
      <w:hyperlink r:id="rId8" w:history="1">
        <w:r w:rsidRPr="00E67F0D">
          <w:rPr>
            <w:rStyle w:val="Hipercze"/>
            <w:sz w:val="22"/>
            <w:lang w:val="en-US"/>
          </w:rPr>
          <w:t>Anti-Crisis Shield 4.0</w:t>
        </w:r>
      </w:hyperlink>
      <w:r w:rsidRPr="00E67F0D">
        <w:rPr>
          <w:sz w:val="22"/>
          <w:lang w:val="en-US"/>
        </w:rPr>
        <w:t>. These regulations were adopted as a result of the COVID-19 pandemic and the risk of taking over Polish companies that are crucial for public order, safety or health. It is a solution modelled on the regulations recently adopted in Germany and those existing in other countries (e.g.  France or Italy).</w:t>
      </w:r>
    </w:p>
    <w:p w:rsidR="005C550F" w:rsidRPr="00E67F0D" w:rsidRDefault="00FD3279" w:rsidP="005F74CC">
      <w:pPr>
        <w:pStyle w:val="Zwykytekst"/>
        <w:spacing w:after="240" w:line="360" w:lineRule="auto"/>
        <w:jc w:val="both"/>
        <w:rPr>
          <w:rFonts w:ascii="Trebuchet MS" w:hAnsi="Trebuchet MS"/>
          <w:bCs/>
          <w:szCs w:val="22"/>
          <w:lang w:val="en-US"/>
        </w:rPr>
      </w:pPr>
      <w:r w:rsidRPr="00E67F0D">
        <w:rPr>
          <w:rFonts w:ascii="Trebuchet MS" w:hAnsi="Trebuchet MS"/>
          <w:i/>
          <w:iCs/>
          <w:szCs w:val="22"/>
          <w:lang w:val="en-US"/>
        </w:rPr>
        <w:t xml:space="preserve">"The regulations aim at protecting key Polish enterprises - we do not intend to obstruct foreign investments, so important for the country's economic growth. Most decisions will be issued in less than 30 days, ensuring full independence of the authority. The published guidelines shall assist entrepreneurs in applying for the transaction </w:t>
      </w:r>
      <w:proofErr w:type="spellStart"/>
      <w:r w:rsidRPr="00E67F0D">
        <w:rPr>
          <w:rFonts w:ascii="Trebuchet MS" w:hAnsi="Trebuchet MS"/>
          <w:i/>
          <w:iCs/>
          <w:szCs w:val="22"/>
          <w:lang w:val="en-US"/>
        </w:rPr>
        <w:t>authorisation</w:t>
      </w:r>
      <w:proofErr w:type="spellEnd"/>
      <w:r w:rsidRPr="00E67F0D">
        <w:rPr>
          <w:rFonts w:ascii="Trebuchet MS" w:hAnsi="Trebuchet MS"/>
          <w:i/>
          <w:iCs/>
          <w:szCs w:val="22"/>
          <w:lang w:val="en-US"/>
        </w:rPr>
        <w:t>,”</w:t>
      </w:r>
      <w:r w:rsidRPr="00E67F0D">
        <w:rPr>
          <w:rFonts w:ascii="Trebuchet MS" w:hAnsi="Trebuchet MS"/>
          <w:szCs w:val="22"/>
          <w:lang w:val="en-US"/>
        </w:rPr>
        <w:t xml:space="preserve"> stresses President of </w:t>
      </w:r>
      <w:proofErr w:type="spellStart"/>
      <w:r w:rsidRPr="00E67F0D">
        <w:rPr>
          <w:rFonts w:ascii="Trebuchet MS" w:hAnsi="Trebuchet MS"/>
          <w:szCs w:val="22"/>
          <w:lang w:val="en-US"/>
        </w:rPr>
        <w:t>UOKiK</w:t>
      </w:r>
      <w:proofErr w:type="spellEnd"/>
      <w:r w:rsidRPr="00E67F0D">
        <w:rPr>
          <w:rFonts w:ascii="Trebuchet MS" w:hAnsi="Trebuchet MS"/>
          <w:szCs w:val="22"/>
          <w:lang w:val="en-US"/>
        </w:rPr>
        <w:t xml:space="preserve"> Tomasz </w:t>
      </w:r>
      <w:proofErr w:type="spellStart"/>
      <w:r w:rsidRPr="00E67F0D">
        <w:rPr>
          <w:rFonts w:ascii="Trebuchet MS" w:hAnsi="Trebuchet MS"/>
          <w:szCs w:val="22"/>
          <w:lang w:val="en-US"/>
        </w:rPr>
        <w:t>Chróstny</w:t>
      </w:r>
      <w:proofErr w:type="spellEnd"/>
      <w:r w:rsidRPr="00E67F0D">
        <w:rPr>
          <w:rFonts w:ascii="Trebuchet MS" w:hAnsi="Trebuchet MS"/>
          <w:szCs w:val="22"/>
          <w:lang w:val="en-US"/>
        </w:rPr>
        <w:t>.</w:t>
      </w:r>
    </w:p>
    <w:p w:rsidR="00174A43" w:rsidRPr="00E67F0D" w:rsidRDefault="009005A5" w:rsidP="005F74CC">
      <w:pPr>
        <w:spacing w:after="240" w:line="360" w:lineRule="auto"/>
        <w:jc w:val="both"/>
        <w:rPr>
          <w:sz w:val="22"/>
          <w:lang w:val="en-US"/>
        </w:rPr>
      </w:pPr>
      <w:r w:rsidRPr="00E67F0D">
        <w:rPr>
          <w:sz w:val="22"/>
          <w:lang w:val="en-US"/>
        </w:rPr>
        <w:t xml:space="preserve">Who is obliged to report the transaction, under which circumstances and when? What documents should be submitted, how will the procedure proceed? Which sanctions can be imposed, for what and who imposes them? These are just some of the questions that are addressed in the guidelines published by the Office. They will substantially support entrepreneurs in submitting transaction </w:t>
      </w:r>
      <w:proofErr w:type="spellStart"/>
      <w:r w:rsidRPr="00E67F0D">
        <w:rPr>
          <w:sz w:val="22"/>
          <w:lang w:val="en-US"/>
        </w:rPr>
        <w:t>authorisation</w:t>
      </w:r>
      <w:proofErr w:type="spellEnd"/>
      <w:r w:rsidRPr="00E67F0D">
        <w:rPr>
          <w:sz w:val="22"/>
          <w:lang w:val="en-US"/>
        </w:rPr>
        <w:t xml:space="preserve"> requests and thus their cooperation with the Authority. </w:t>
      </w:r>
    </w:p>
    <w:p w:rsidR="00277B58" w:rsidRPr="00E67F0D" w:rsidRDefault="00277B58" w:rsidP="005F74CC">
      <w:pPr>
        <w:spacing w:after="240" w:line="360" w:lineRule="auto"/>
        <w:jc w:val="both"/>
        <w:rPr>
          <w:b/>
          <w:sz w:val="22"/>
          <w:lang w:val="en-US"/>
        </w:rPr>
      </w:pPr>
      <w:r w:rsidRPr="00E67F0D">
        <w:rPr>
          <w:b/>
          <w:bCs/>
          <w:sz w:val="22"/>
          <w:lang w:val="en-US"/>
        </w:rPr>
        <w:t xml:space="preserve">Who </w:t>
      </w:r>
      <w:r w:rsidR="00E67F0D">
        <w:rPr>
          <w:b/>
          <w:bCs/>
          <w:sz w:val="22"/>
          <w:lang w:val="en-US"/>
        </w:rPr>
        <w:t>is</w:t>
      </w:r>
      <w:r w:rsidRPr="00E67F0D">
        <w:rPr>
          <w:b/>
          <w:bCs/>
          <w:sz w:val="22"/>
          <w:lang w:val="en-US"/>
        </w:rPr>
        <w:t xml:space="preserve"> protected</w:t>
      </w:r>
    </w:p>
    <w:p w:rsidR="00277B58" w:rsidRPr="00E67F0D" w:rsidRDefault="00E0225A" w:rsidP="005F74CC">
      <w:pPr>
        <w:spacing w:after="240" w:line="360" w:lineRule="auto"/>
        <w:jc w:val="both"/>
        <w:rPr>
          <w:sz w:val="22"/>
          <w:lang w:val="en-US"/>
        </w:rPr>
      </w:pPr>
      <w:r w:rsidRPr="00E67F0D">
        <w:rPr>
          <w:sz w:val="22"/>
          <w:lang w:val="en-US"/>
        </w:rPr>
        <w:t xml:space="preserve">Pursuant to the amendment to the Investment Protection Act the President of </w:t>
      </w:r>
      <w:proofErr w:type="spellStart"/>
      <w:r w:rsidRPr="00E67F0D">
        <w:rPr>
          <w:sz w:val="22"/>
          <w:lang w:val="en-US"/>
        </w:rPr>
        <w:t>UOKiK</w:t>
      </w:r>
      <w:proofErr w:type="spellEnd"/>
      <w:r w:rsidRPr="00E67F0D">
        <w:rPr>
          <w:sz w:val="22"/>
          <w:lang w:val="en-US"/>
        </w:rPr>
        <w:t xml:space="preserve"> will be able to protect entities based in Poland that are crucial for maintaining public safety, order and health, </w:t>
      </w:r>
      <w:r w:rsidRPr="00E67F0D">
        <w:rPr>
          <w:i/>
          <w:iCs/>
          <w:sz w:val="22"/>
          <w:lang w:val="en-US"/>
        </w:rPr>
        <w:t>inter alia</w:t>
      </w:r>
      <w:r w:rsidRPr="00E67F0D">
        <w:rPr>
          <w:sz w:val="22"/>
          <w:lang w:val="en-US"/>
        </w:rPr>
        <w:t xml:space="preserve"> </w:t>
      </w:r>
    </w:p>
    <w:p w:rsidR="00277B58" w:rsidRPr="00E67F0D" w:rsidRDefault="00F74DAF" w:rsidP="005F74CC">
      <w:pPr>
        <w:pStyle w:val="Akapitzlist"/>
        <w:numPr>
          <w:ilvl w:val="0"/>
          <w:numId w:val="20"/>
        </w:numPr>
        <w:spacing w:after="240" w:line="360" w:lineRule="auto"/>
        <w:ind w:left="360"/>
        <w:jc w:val="both"/>
        <w:rPr>
          <w:sz w:val="22"/>
          <w:lang w:val="en-US"/>
        </w:rPr>
      </w:pPr>
      <w:r w:rsidRPr="00E67F0D">
        <w:rPr>
          <w:sz w:val="22"/>
          <w:lang w:val="en-US"/>
        </w:rPr>
        <w:lastRenderedPageBreak/>
        <w:t xml:space="preserve">conducting business activities related to: power, gas, fuels, telecommunications, food processing, manufacture of medicines, chemicals and fertilizers, explosives, weapons and ammunition, as well as military and/or police technologies; </w:t>
      </w:r>
    </w:p>
    <w:p w:rsidR="00ED1089" w:rsidRPr="00E67F0D" w:rsidRDefault="00F74DAF" w:rsidP="00F94710">
      <w:pPr>
        <w:pStyle w:val="Akapitzlist"/>
        <w:numPr>
          <w:ilvl w:val="0"/>
          <w:numId w:val="20"/>
        </w:numPr>
        <w:spacing w:after="240" w:line="360" w:lineRule="auto"/>
        <w:ind w:left="360"/>
        <w:jc w:val="both"/>
        <w:rPr>
          <w:sz w:val="22"/>
          <w:lang w:val="en-US"/>
        </w:rPr>
      </w:pPr>
      <w:r w:rsidRPr="00E67F0D">
        <w:rPr>
          <w:sz w:val="22"/>
          <w:lang w:val="en-US"/>
        </w:rPr>
        <w:t>developing software for core services for society, such as energy, fuels, water supply, cash supply, card payments, hospitals, sales of prescription drugs, transport and food supply, and</w:t>
      </w:r>
    </w:p>
    <w:p w:rsidR="00277B58" w:rsidRPr="00E67F0D" w:rsidRDefault="00ED1089" w:rsidP="00F94710">
      <w:pPr>
        <w:pStyle w:val="Akapitzlist"/>
        <w:numPr>
          <w:ilvl w:val="0"/>
          <w:numId w:val="20"/>
        </w:numPr>
        <w:spacing w:after="240" w:line="360" w:lineRule="auto"/>
        <w:ind w:left="360"/>
        <w:jc w:val="both"/>
        <w:rPr>
          <w:sz w:val="22"/>
          <w:lang w:val="en-US"/>
        </w:rPr>
      </w:pPr>
      <w:r w:rsidRPr="00E67F0D">
        <w:rPr>
          <w:sz w:val="22"/>
          <w:lang w:val="en-US"/>
        </w:rPr>
        <w:t xml:space="preserve">public companies regardless of the type and sector of activity; </w:t>
      </w:r>
    </w:p>
    <w:p w:rsidR="00277B58" w:rsidRPr="00E67F0D" w:rsidRDefault="00277B58" w:rsidP="005F74CC">
      <w:pPr>
        <w:pStyle w:val="Akapitzlist"/>
        <w:numPr>
          <w:ilvl w:val="0"/>
          <w:numId w:val="19"/>
        </w:numPr>
        <w:spacing w:after="240" w:line="360" w:lineRule="auto"/>
        <w:ind w:left="360"/>
        <w:jc w:val="both"/>
        <w:rPr>
          <w:sz w:val="22"/>
          <w:lang w:val="en-US"/>
        </w:rPr>
      </w:pPr>
      <w:r w:rsidRPr="00E67F0D">
        <w:rPr>
          <w:sz w:val="22"/>
          <w:lang w:val="en-US"/>
        </w:rPr>
        <w:t>The prerequisite for protection is also a sufficiently high revenue of the company - it must exceed the equivalent of EUR 10 million in Poland in one of the two financial years preceding the intention to take it over.</w:t>
      </w:r>
    </w:p>
    <w:p w:rsidR="00277B58" w:rsidRPr="00E67F0D" w:rsidRDefault="00852121" w:rsidP="005F74CC">
      <w:pPr>
        <w:spacing w:after="240" w:line="360" w:lineRule="auto"/>
        <w:jc w:val="both"/>
        <w:rPr>
          <w:b/>
          <w:sz w:val="22"/>
          <w:lang w:val="en-US"/>
        </w:rPr>
      </w:pPr>
      <w:r w:rsidRPr="00E67F0D">
        <w:rPr>
          <w:b/>
          <w:bCs/>
          <w:sz w:val="22"/>
          <w:lang w:val="en-US"/>
        </w:rPr>
        <w:t xml:space="preserve">Who must report to the </w:t>
      </w:r>
      <w:proofErr w:type="spellStart"/>
      <w:r w:rsidRPr="00E67F0D">
        <w:rPr>
          <w:b/>
          <w:bCs/>
          <w:sz w:val="22"/>
          <w:lang w:val="en-US"/>
        </w:rPr>
        <w:t>UOKiK</w:t>
      </w:r>
      <w:proofErr w:type="spellEnd"/>
    </w:p>
    <w:p w:rsidR="008E73E0" w:rsidRPr="00E67F0D" w:rsidRDefault="00F74DAF" w:rsidP="005F74CC">
      <w:pPr>
        <w:spacing w:after="240" w:line="360" w:lineRule="auto"/>
        <w:jc w:val="both"/>
        <w:rPr>
          <w:sz w:val="22"/>
          <w:lang w:val="en-US"/>
        </w:rPr>
      </w:pPr>
      <w:r w:rsidRPr="00E67F0D">
        <w:rPr>
          <w:sz w:val="22"/>
          <w:lang w:val="en-US"/>
        </w:rPr>
        <w:t xml:space="preserve">The </w:t>
      </w:r>
      <w:proofErr w:type="spellStart"/>
      <w:r w:rsidRPr="00E67F0D">
        <w:rPr>
          <w:sz w:val="22"/>
          <w:lang w:val="en-US"/>
        </w:rPr>
        <w:t>UOKiK</w:t>
      </w:r>
      <w:proofErr w:type="spellEnd"/>
      <w:r w:rsidRPr="00E67F0D">
        <w:rPr>
          <w:sz w:val="22"/>
          <w:lang w:val="en-US"/>
        </w:rPr>
        <w:t xml:space="preserve"> notification obligation shall apply to transactions resulting in the acquisition, achieving substantial shareholding or acquiring dominance by entities with a registered office or citizenship (for natural persons) outside a EU Member State, </w:t>
      </w:r>
      <w:hyperlink r:id="rId9" w:history="1">
        <w:r w:rsidRPr="00E67F0D">
          <w:rPr>
            <w:rStyle w:val="Hipercze"/>
            <w:sz w:val="22"/>
            <w:lang w:val="en-US"/>
          </w:rPr>
          <w:t>the European Economic Area (EEA)</w:t>
        </w:r>
      </w:hyperlink>
      <w:r w:rsidRPr="00E67F0D">
        <w:rPr>
          <w:sz w:val="22"/>
          <w:lang w:val="en-US"/>
        </w:rPr>
        <w:t xml:space="preserve"> and </w:t>
      </w:r>
      <w:hyperlink r:id="rId10" w:history="1">
        <w:r w:rsidRPr="00E67F0D">
          <w:rPr>
            <w:rStyle w:val="Hipercze"/>
            <w:sz w:val="22"/>
            <w:lang w:val="en-US"/>
          </w:rPr>
          <w:t xml:space="preserve">the </w:t>
        </w:r>
        <w:proofErr w:type="spellStart"/>
        <w:r w:rsidRPr="00E67F0D">
          <w:rPr>
            <w:rStyle w:val="Hipercze"/>
            <w:sz w:val="22"/>
            <w:lang w:val="en-US"/>
          </w:rPr>
          <w:t>Organisation</w:t>
        </w:r>
        <w:proofErr w:type="spellEnd"/>
        <w:r w:rsidRPr="00E67F0D">
          <w:rPr>
            <w:rStyle w:val="Hipercze"/>
            <w:sz w:val="22"/>
            <w:lang w:val="en-US"/>
          </w:rPr>
          <w:t xml:space="preserve"> for Economic Cooperation and Development (OECD)</w:t>
        </w:r>
      </w:hyperlink>
      <w:r w:rsidRPr="00E67F0D">
        <w:rPr>
          <w:sz w:val="22"/>
          <w:lang w:val="en-US"/>
        </w:rPr>
        <w:t xml:space="preserve">. </w:t>
      </w:r>
    </w:p>
    <w:p w:rsidR="00417B79" w:rsidRPr="00E67F0D" w:rsidRDefault="002E464A" w:rsidP="005F74CC">
      <w:pPr>
        <w:pStyle w:val="Akapitzlist"/>
        <w:spacing w:after="240" w:line="360" w:lineRule="auto"/>
        <w:ind w:left="0"/>
        <w:jc w:val="both"/>
        <w:rPr>
          <w:b/>
          <w:sz w:val="22"/>
          <w:lang w:val="en-US"/>
        </w:rPr>
      </w:pPr>
      <w:r w:rsidRPr="00E67F0D">
        <w:rPr>
          <w:b/>
          <w:bCs/>
          <w:sz w:val="22"/>
          <w:lang w:val="en-US"/>
        </w:rPr>
        <w:t>Two stages of the procedure</w:t>
      </w:r>
    </w:p>
    <w:p w:rsidR="00E44115" w:rsidRPr="00E67F0D" w:rsidRDefault="00A906FE" w:rsidP="00FD60D0">
      <w:pPr>
        <w:spacing w:after="240" w:line="360" w:lineRule="auto"/>
        <w:jc w:val="both"/>
        <w:rPr>
          <w:sz w:val="22"/>
          <w:lang w:val="en-US"/>
        </w:rPr>
      </w:pPr>
      <w:r w:rsidRPr="00E67F0D">
        <w:rPr>
          <w:sz w:val="22"/>
          <w:lang w:val="en-US"/>
        </w:rPr>
        <w:t xml:space="preserve">The procedure is to be split into two phases, as in concentration control-related cases. The first phase will be a </w:t>
      </w:r>
      <w:r w:rsidRPr="00E67F0D">
        <w:rPr>
          <w:b/>
          <w:bCs/>
          <w:sz w:val="22"/>
          <w:lang w:val="en-US"/>
        </w:rPr>
        <w:t>preliminary verifying procedure</w:t>
      </w:r>
      <w:r w:rsidRPr="00E67F0D">
        <w:rPr>
          <w:sz w:val="22"/>
          <w:lang w:val="en-US"/>
        </w:rPr>
        <w:t xml:space="preserve">, which is intended to distinguish between simple cases that do not require further examination and more complex ones. This phase is to last up to 30 days. As expected, most of the transactions under consideration will be completed in this phase. In such cases, the President of </w:t>
      </w:r>
      <w:proofErr w:type="spellStart"/>
      <w:r w:rsidRPr="00E67F0D">
        <w:rPr>
          <w:sz w:val="22"/>
          <w:lang w:val="en-US"/>
        </w:rPr>
        <w:t>UOKiK</w:t>
      </w:r>
      <w:proofErr w:type="spellEnd"/>
      <w:r w:rsidRPr="00E67F0D">
        <w:rPr>
          <w:sz w:val="22"/>
          <w:lang w:val="en-US"/>
        </w:rPr>
        <w:t xml:space="preserve"> will issue a notice of non-opposition. The Office shall strive to conclude cases that do not raise doubts as soon as possible. To ensure more efficient processing of such cases - if a given transaction is also subject to notification to the President of </w:t>
      </w:r>
      <w:proofErr w:type="spellStart"/>
      <w:r w:rsidRPr="00E67F0D">
        <w:rPr>
          <w:sz w:val="22"/>
          <w:lang w:val="en-US"/>
        </w:rPr>
        <w:t>UOKiK</w:t>
      </w:r>
      <w:proofErr w:type="spellEnd"/>
      <w:r w:rsidRPr="00E67F0D">
        <w:rPr>
          <w:sz w:val="22"/>
          <w:lang w:val="en-US"/>
        </w:rPr>
        <w:t xml:space="preserve"> under concentration control regulations, then both cases shall be handled by the same official.</w:t>
      </w:r>
    </w:p>
    <w:p w:rsidR="00417B79" w:rsidRPr="00E67F0D" w:rsidRDefault="00FB6979" w:rsidP="005F74CC">
      <w:pPr>
        <w:pStyle w:val="Akapitzlist"/>
        <w:spacing w:after="240" w:line="360" w:lineRule="auto"/>
        <w:ind w:left="0"/>
        <w:jc w:val="both"/>
        <w:rPr>
          <w:rStyle w:val="Ppogrubienie"/>
          <w:rFonts w:ascii="Trebuchet MS" w:hAnsi="Trebuchet MS"/>
          <w:b w:val="0"/>
          <w:color w:val="000000" w:themeColor="text1"/>
          <w:sz w:val="22"/>
          <w:lang w:val="en-US"/>
        </w:rPr>
      </w:pPr>
      <w:r w:rsidRPr="00E67F0D">
        <w:rPr>
          <w:sz w:val="22"/>
          <w:lang w:val="en-US"/>
        </w:rPr>
        <w:t>Only</w:t>
      </w:r>
      <w:r w:rsidRPr="00E67F0D">
        <w:rPr>
          <w:color w:val="000000" w:themeColor="text1"/>
          <w:sz w:val="22"/>
          <w:lang w:val="en-US"/>
        </w:rPr>
        <w:t xml:space="preserve"> a small number of specific cases will be referred to the appropriate control procedure (phase two), i.e. those that may pose a major threat to </w:t>
      </w:r>
      <w:r w:rsidRPr="00E67F0D">
        <w:rPr>
          <w:rStyle w:val="Ppogrubienie"/>
          <w:rFonts w:ascii="Trebuchet MS" w:hAnsi="Trebuchet MS"/>
          <w:b w:val="0"/>
          <w:color w:val="000000" w:themeColor="text1"/>
          <w:sz w:val="22"/>
          <w:lang w:val="en-US"/>
        </w:rPr>
        <w:t xml:space="preserve">public order, public security or public health. According to the Office's guidelines, this shall refer to </w:t>
      </w:r>
      <w:r w:rsidRPr="00E67F0D">
        <w:rPr>
          <w:rStyle w:val="Ppogrubienie"/>
          <w:rFonts w:ascii="Trebuchet MS" w:hAnsi="Trebuchet MS"/>
          <w:b w:val="0"/>
          <w:sz w:val="22"/>
          <w:lang w:val="en-US"/>
        </w:rPr>
        <w:t xml:space="preserve">situations where, for example, there is a risk that an undertaking of substantial value for public interest might be forced to move abroad, close down its plant, siphon technologies or that this entity's business </w:t>
      </w:r>
      <w:r w:rsidRPr="00E67F0D">
        <w:rPr>
          <w:rStyle w:val="Ppogrubienie"/>
          <w:rFonts w:ascii="Trebuchet MS" w:hAnsi="Trebuchet MS"/>
          <w:b w:val="0"/>
          <w:sz w:val="22"/>
          <w:lang w:val="en-US"/>
        </w:rPr>
        <w:lastRenderedPageBreak/>
        <w:t>operations might be compromised otherwise.</w:t>
      </w:r>
      <w:r w:rsidRPr="00E67F0D">
        <w:rPr>
          <w:rStyle w:val="Ppogrubienie"/>
          <w:rFonts w:ascii="Trebuchet MS" w:hAnsi="Trebuchet MS"/>
          <w:b w:val="0"/>
          <w:color w:val="000000" w:themeColor="text1"/>
          <w:sz w:val="22"/>
          <w:lang w:val="en-US"/>
        </w:rPr>
        <w:t xml:space="preserve"> This phase of the procedure is to last a maximum of 120 days.</w:t>
      </w:r>
    </w:p>
    <w:p w:rsidR="00F74DAF" w:rsidRPr="00E67F0D" w:rsidRDefault="00F74DAF" w:rsidP="005F74CC">
      <w:pPr>
        <w:pStyle w:val="Akapitzlist"/>
        <w:spacing w:after="240" w:line="360" w:lineRule="auto"/>
        <w:ind w:left="0"/>
        <w:jc w:val="both"/>
        <w:rPr>
          <w:rStyle w:val="Ppogrubienie"/>
          <w:rFonts w:ascii="Trebuchet MS" w:hAnsi="Trebuchet MS"/>
          <w:color w:val="000000" w:themeColor="text1"/>
          <w:sz w:val="22"/>
          <w:lang w:val="en-US"/>
        </w:rPr>
      </w:pPr>
    </w:p>
    <w:p w:rsidR="002E464A" w:rsidRPr="00E67F0D" w:rsidRDefault="002E464A" w:rsidP="005F74CC">
      <w:pPr>
        <w:pStyle w:val="Akapitzlist"/>
        <w:spacing w:after="240" w:line="360" w:lineRule="auto"/>
        <w:ind w:left="0"/>
        <w:jc w:val="both"/>
        <w:rPr>
          <w:color w:val="000000" w:themeColor="text1"/>
          <w:sz w:val="22"/>
          <w:lang w:val="en-US"/>
        </w:rPr>
      </w:pPr>
      <w:r w:rsidRPr="00E67F0D">
        <w:rPr>
          <w:rStyle w:val="Ppogrubienie"/>
          <w:rFonts w:ascii="Trebuchet MS" w:hAnsi="Trebuchet MS"/>
          <w:bCs/>
          <w:color w:val="000000" w:themeColor="text1"/>
          <w:sz w:val="22"/>
          <w:lang w:val="en-US"/>
        </w:rPr>
        <w:t>Sanctions</w:t>
      </w:r>
    </w:p>
    <w:p w:rsidR="0057333C" w:rsidRPr="00E67F0D" w:rsidRDefault="00FD60D0" w:rsidP="0057333C">
      <w:pPr>
        <w:spacing w:after="240" w:line="360" w:lineRule="auto"/>
        <w:jc w:val="both"/>
        <w:rPr>
          <w:color w:val="000000" w:themeColor="text1"/>
          <w:sz w:val="22"/>
          <w:lang w:val="en-US"/>
        </w:rPr>
      </w:pPr>
      <w:r w:rsidRPr="00E67F0D">
        <w:rPr>
          <w:color w:val="000000" w:themeColor="text1"/>
          <w:sz w:val="22"/>
          <w:lang w:val="en-US"/>
        </w:rPr>
        <w:t xml:space="preserve">Achieving or acquiring a significant shareholding or dominance in a protected undertaking without filing a notification or despite the President of </w:t>
      </w:r>
      <w:proofErr w:type="spellStart"/>
      <w:r w:rsidRPr="00E67F0D">
        <w:rPr>
          <w:color w:val="000000" w:themeColor="text1"/>
          <w:sz w:val="22"/>
          <w:lang w:val="en-US"/>
        </w:rPr>
        <w:t>UOKiK's</w:t>
      </w:r>
      <w:proofErr w:type="spellEnd"/>
      <w:r w:rsidRPr="00E67F0D">
        <w:rPr>
          <w:color w:val="000000" w:themeColor="text1"/>
          <w:sz w:val="22"/>
          <w:lang w:val="en-US"/>
        </w:rPr>
        <w:t xml:space="preserve"> objection will be null and void by law. This will also be subject to a fine of up to PLN 50 million and to imprisonment from 6 months to 5 years. Sanctions may also be ordered in combination.</w:t>
      </w:r>
    </w:p>
    <w:p w:rsidR="00CC39CB" w:rsidRPr="00E67F0D" w:rsidRDefault="00CC39CB" w:rsidP="00706F34">
      <w:pPr>
        <w:pStyle w:val="NormalnyWeb"/>
        <w:spacing w:line="360" w:lineRule="auto"/>
        <w:jc w:val="both"/>
        <w:rPr>
          <w:rFonts w:ascii="Trebuchet MS" w:hAnsi="Trebuchet MS"/>
          <w:sz w:val="22"/>
          <w:szCs w:val="22"/>
          <w:lang w:val="en-US"/>
        </w:rPr>
      </w:pPr>
      <w:r w:rsidRPr="00E67F0D">
        <w:rPr>
          <w:rFonts w:ascii="Trebuchet MS" w:hAnsi="Trebuchet MS"/>
          <w:sz w:val="22"/>
          <w:szCs w:val="22"/>
          <w:lang w:val="en-US"/>
        </w:rPr>
        <w:t xml:space="preserve">The published guidelines specify that a fine, imprisonment or both can only be ordered by a common court. The President of </w:t>
      </w:r>
      <w:proofErr w:type="spellStart"/>
      <w:r w:rsidRPr="00E67F0D">
        <w:rPr>
          <w:rFonts w:ascii="Trebuchet MS" w:hAnsi="Trebuchet MS"/>
          <w:sz w:val="22"/>
          <w:szCs w:val="22"/>
          <w:lang w:val="en-US"/>
        </w:rPr>
        <w:t>UOKiK</w:t>
      </w:r>
      <w:proofErr w:type="spellEnd"/>
      <w:r w:rsidRPr="00E67F0D">
        <w:rPr>
          <w:rFonts w:ascii="Trebuchet MS" w:hAnsi="Trebuchet MS"/>
          <w:sz w:val="22"/>
          <w:szCs w:val="22"/>
          <w:lang w:val="en-US"/>
        </w:rPr>
        <w:t>, on the other hand, as the control authority, may request that these sanctions be imposed.</w:t>
      </w:r>
    </w:p>
    <w:p w:rsidR="00E27A22" w:rsidRPr="00E67F0D" w:rsidRDefault="00F6695B" w:rsidP="00E27A22">
      <w:pPr>
        <w:spacing w:after="240" w:line="360" w:lineRule="auto"/>
        <w:jc w:val="both"/>
        <w:rPr>
          <w:sz w:val="22"/>
          <w:lang w:val="en-US"/>
        </w:rPr>
      </w:pPr>
      <w:r w:rsidRPr="00E67F0D">
        <w:rPr>
          <w:i/>
          <w:iCs/>
          <w:sz w:val="22"/>
          <w:lang w:val="en-US"/>
        </w:rPr>
        <w:t>"We are dealing with new regulations, so the practice of jurisprudence will evolve along with the cases under consideration. Should further relevant issues arise,</w:t>
      </w:r>
      <w:r w:rsidRPr="00E67F0D">
        <w:rPr>
          <w:i/>
          <w:iCs/>
          <w:color w:val="222222"/>
          <w:sz w:val="22"/>
          <w:shd w:val="clear" w:color="auto" w:fill="FFFFFF"/>
          <w:lang w:val="en-US"/>
        </w:rPr>
        <w:t xml:space="preserve"> we will publish the questions and answers </w:t>
      </w:r>
      <w:r w:rsidRPr="00E67F0D">
        <w:rPr>
          <w:i/>
          <w:iCs/>
          <w:sz w:val="22"/>
          <w:lang w:val="en-US"/>
        </w:rPr>
        <w:t xml:space="preserve">that will be helpful to entrepreneurs,” </w:t>
      </w:r>
      <w:r w:rsidRPr="00E67F0D">
        <w:rPr>
          <w:sz w:val="22"/>
          <w:lang w:val="en-US"/>
        </w:rPr>
        <w:t xml:space="preserve">says President of </w:t>
      </w:r>
      <w:proofErr w:type="spellStart"/>
      <w:r w:rsidRPr="00E67F0D">
        <w:rPr>
          <w:sz w:val="22"/>
          <w:lang w:val="en-US"/>
        </w:rPr>
        <w:t>UOKiK</w:t>
      </w:r>
      <w:proofErr w:type="spellEnd"/>
      <w:r w:rsidRPr="00E67F0D">
        <w:rPr>
          <w:sz w:val="22"/>
          <w:lang w:val="en-US"/>
        </w:rPr>
        <w:t xml:space="preserve"> Tomasz </w:t>
      </w:r>
      <w:proofErr w:type="spellStart"/>
      <w:r w:rsidRPr="00E67F0D">
        <w:rPr>
          <w:sz w:val="22"/>
          <w:lang w:val="en-US"/>
        </w:rPr>
        <w:t>Chróstny</w:t>
      </w:r>
      <w:proofErr w:type="spellEnd"/>
      <w:r w:rsidRPr="00E67F0D">
        <w:rPr>
          <w:sz w:val="22"/>
          <w:lang w:val="en-US"/>
        </w:rPr>
        <w:t xml:space="preserve">. </w:t>
      </w:r>
    </w:p>
    <w:p w:rsidR="00AD0DEE" w:rsidRPr="00E67F0D" w:rsidRDefault="005F74CC" w:rsidP="00F94710">
      <w:pPr>
        <w:spacing w:after="240" w:line="360" w:lineRule="auto"/>
        <w:jc w:val="both"/>
        <w:rPr>
          <w:i/>
          <w:sz w:val="22"/>
          <w:lang w:val="en-US"/>
        </w:rPr>
      </w:pPr>
      <w:r w:rsidRPr="00E67F0D">
        <w:rPr>
          <w:sz w:val="22"/>
          <w:lang w:val="en-US"/>
        </w:rPr>
        <w:t xml:space="preserve">The document titled </w:t>
      </w:r>
      <w:hyperlink r:id="rId11" w:history="1">
        <w:r w:rsidRPr="00E67F0D">
          <w:rPr>
            <w:rStyle w:val="Hipercze"/>
            <w:i/>
            <w:iCs/>
            <w:sz w:val="22"/>
            <w:lang w:val="en-US"/>
          </w:rPr>
          <w:t xml:space="preserve">Procedural guidelines for submitting notifications to the President of </w:t>
        </w:r>
        <w:proofErr w:type="spellStart"/>
        <w:r w:rsidRPr="00E67F0D">
          <w:rPr>
            <w:rStyle w:val="Hipercze"/>
            <w:i/>
            <w:iCs/>
            <w:sz w:val="22"/>
            <w:lang w:val="en-US"/>
          </w:rPr>
          <w:t>UOKiK</w:t>
        </w:r>
        <w:proofErr w:type="spellEnd"/>
        <w:r w:rsidRPr="00E67F0D">
          <w:rPr>
            <w:rStyle w:val="Hipercze"/>
            <w:i/>
            <w:iCs/>
            <w:sz w:val="22"/>
            <w:lang w:val="en-US"/>
          </w:rPr>
          <w:t xml:space="preserve"> and conducting proceedings covered by the provisions of the Investment Control Act</w:t>
        </w:r>
      </w:hyperlink>
      <w:r w:rsidRPr="00E67F0D">
        <w:rPr>
          <w:i/>
          <w:iCs/>
          <w:sz w:val="22"/>
          <w:lang w:val="en-US"/>
        </w:rPr>
        <w:t xml:space="preserve"> </w:t>
      </w:r>
      <w:r w:rsidRPr="00E67F0D">
        <w:rPr>
          <w:sz w:val="22"/>
          <w:lang w:val="en-US"/>
        </w:rPr>
        <w:t xml:space="preserve">is available for downloading on the </w:t>
      </w:r>
      <w:proofErr w:type="spellStart"/>
      <w:r w:rsidRPr="00E67F0D">
        <w:rPr>
          <w:sz w:val="22"/>
          <w:lang w:val="en-US"/>
        </w:rPr>
        <w:t>UOKiK</w:t>
      </w:r>
      <w:proofErr w:type="spellEnd"/>
      <w:r w:rsidRPr="00E67F0D">
        <w:rPr>
          <w:sz w:val="22"/>
          <w:lang w:val="en-US"/>
        </w:rPr>
        <w:t xml:space="preserve"> website.</w:t>
      </w:r>
    </w:p>
    <w:bookmarkEnd w:id="0"/>
    <w:p w:rsidR="00E27A22" w:rsidRPr="00E67F0D" w:rsidRDefault="00E27A22" w:rsidP="00F94710">
      <w:pPr>
        <w:spacing w:after="240" w:line="360" w:lineRule="auto"/>
        <w:jc w:val="both"/>
        <w:rPr>
          <w:sz w:val="22"/>
          <w:lang w:val="en-US"/>
        </w:rPr>
      </w:pPr>
    </w:p>
    <w:sectPr w:rsidR="00E27A22" w:rsidRPr="00E67F0D" w:rsidSect="008D527A">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EE" w:rsidRDefault="006321EE">
      <w:r>
        <w:separator/>
      </w:r>
    </w:p>
  </w:endnote>
  <w:endnote w:type="continuationSeparator" w:id="0">
    <w:p w:rsidR="006321EE" w:rsidRDefault="0063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80000000" w:usb2="00000008"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D" w:rsidRDefault="00A62C2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15ADDEAC" wp14:editId="4A441FBC">
          <wp:simplePos x="0" y="0"/>
          <wp:positionH relativeFrom="column">
            <wp:posOffset>5062855</wp:posOffset>
          </wp:positionH>
          <wp:positionV relativeFrom="paragraph">
            <wp:posOffset>-169545</wp:posOffset>
          </wp:positionV>
          <wp:extent cx="695325" cy="695325"/>
          <wp:effectExtent l="0" t="0" r="9525" b="9525"/>
          <wp:wrapNone/>
          <wp:docPr id="10" name="Obraz 10"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3282526E" wp14:editId="4CA1055A">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pl"/>
                            </w:rPr>
                            <w:t>PRESS</w:t>
                          </w:r>
                          <w:r>
                            <w:rPr>
                              <w:rFonts w:ascii="Segoe UI Black" w:hAnsi="Segoe UI Black"/>
                              <w:color w:val="C77D4C"/>
                              <w:sz w:val="28"/>
                              <w:szCs w:val="28"/>
                              <w:lang w:val="pl"/>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282526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pl"/>
                        <w:b w:val="0"/>
                        <w:bCs w:val="0"/>
                        <w:i w:val="0"/>
                        <w:iCs w:val="0"/>
                        <w:u w:val="none"/>
                        <w:vertAlign w:val="baseline"/>
                        <w:rtl w:val="0"/>
                      </w:rPr>
                      <w:t xml:space="preserve">PRESS</w:t>
                    </w:r>
                    <w:r>
                      <w:rPr>
                        <w:rFonts w:ascii="Segoe UI Black" w:hAnsi="Segoe UI Black"/>
                        <w:color w:val="C77D4C"/>
                        <w:sz w:val="28"/>
                        <w:szCs w:val="28"/>
                        <w:lang w:val="pl"/>
                        <w:b w:val="0"/>
                        <w:bCs w:val="0"/>
                        <w:i w:val="0"/>
                        <w:iCs w:val="0"/>
                        <w:u w:val="none"/>
                        <w:vertAlign w:val="baseline"/>
                        <w:rtl w:val="0"/>
                      </w:rPr>
                      <w:br w:type="textWrapping"/>
                    </w:r>
                    <w:r>
                      <w:rPr>
                        <w:rFonts w:ascii="Segoe UI Black" w:hAnsi="Segoe UI Black"/>
                        <w:color w:val="C77D4C"/>
                        <w:sz w:val="28"/>
                        <w:szCs w:val="28"/>
                        <w:lang w:val="pl"/>
                        <w:b w:val="0"/>
                        <w:bCs w:val="0"/>
                        <w:i w:val="0"/>
                        <w:iCs w:val="0"/>
                        <w:u w:val="none"/>
                        <w:vertAlign w:val="baseline"/>
                        <w:rtl w:val="0"/>
                      </w:rPr>
                      <w:t xml:space="preserve">RELEASE</w:t>
                    </w:r>
                  </w:p>
                </w:txbxContent>
              </v:textbox>
              <w10:wrap anchorx="margin"/>
            </v:shape>
          </w:pict>
        </mc:Fallback>
      </mc:AlternateContent>
    </w:r>
    <w:r>
      <w:rPr>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58571ACC" wp14:editId="20ABDA6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F78D064"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Pr="00E67F0D">
      <w:rPr>
        <w:rFonts w:ascii="Segoe UI Semibold" w:hAnsi="Segoe UI Semibold"/>
        <w:color w:val="595959" w:themeColor="text1" w:themeTint="A6"/>
        <w:sz w:val="16"/>
        <w:szCs w:val="16"/>
        <w:lang w:val="en-US"/>
      </w:rPr>
      <w:t>WWW.UOKiK.GOV.PL   LANDLINE 22 55 60 246    MOBILE 695 902 088</w:t>
    </w:r>
  </w:p>
  <w:p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pl"/>
      </w:rPr>
      <w:t xml:space="preserve">UOKiK Press Office Pl. Powstańców Warszawy 1, 00-950 Warsaw </w:t>
    </w:r>
    <w:r>
      <w:rPr>
        <w:rFonts w:ascii="Segoe UI Semibold" w:hAnsi="Segoe UI Semibold" w:cs="Segoe UI Semibold"/>
        <w:color w:val="595959" w:themeColor="text1" w:themeTint="A6"/>
        <w:sz w:val="16"/>
        <w:szCs w:val="16"/>
        <w:lang w:val="pl"/>
      </w:rPr>
      <w:br/>
      <w:t xml:space="preserve">E-mail: </w:t>
    </w:r>
    <w:hyperlink r:id="rId2" w:history="1">
      <w:r>
        <w:rPr>
          <w:rStyle w:val="Hipercze"/>
          <w:rFonts w:ascii="Segoe UI Semibold" w:hAnsi="Segoe UI Semibold" w:cs="Segoe UI Semibold"/>
          <w:color w:val="595959" w:themeColor="text1" w:themeTint="A6"/>
          <w:sz w:val="16"/>
          <w:szCs w:val="16"/>
          <w:lang w:val="pl"/>
        </w:rPr>
        <w:t>biuroprasowe@uokik.gov.pl</w:t>
      </w:r>
    </w:hyperlink>
    <w:r>
      <w:rPr>
        <w:rFonts w:ascii="Segoe UI Semibold" w:hAnsi="Segoe UI Semibold" w:cs="Segoe UI Semibold"/>
        <w:color w:val="595959" w:themeColor="text1" w:themeTint="A6"/>
        <w:sz w:val="16"/>
        <w:szCs w:val="16"/>
        <w:lang w:val="pl"/>
      </w:rPr>
      <w:t xml:space="preserve"> Twitter: </w:t>
    </w:r>
    <w:hyperlink r:id="rId3" w:history="1">
      <w:r>
        <w:rPr>
          <w:rStyle w:val="Hipercze"/>
          <w:rFonts w:ascii="Segoe UI Semibold" w:hAnsi="Segoe UI Semibold" w:cs="Segoe UI Semibold"/>
          <w:color w:val="595959" w:themeColor="text1" w:themeTint="A6"/>
          <w:sz w:val="16"/>
          <w:szCs w:val="16"/>
          <w:lang w:val="pl"/>
        </w:rPr>
        <w:t>@</w:t>
      </w:r>
      <w:r>
        <w:rPr>
          <w:rStyle w:val="u-linkcomplex-target"/>
          <w:rFonts w:ascii="Segoe UI Semibold" w:hAnsi="Segoe UI Semibold" w:cs="Segoe UI Semibold"/>
          <w:color w:val="595959" w:themeColor="text1" w:themeTint="A6"/>
          <w:sz w:val="16"/>
          <w:szCs w:val="16"/>
          <w:u w:val="single"/>
          <w:lang w:val="pl"/>
        </w:rPr>
        <w:t>UOKiKgovPL</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D" w:rsidRDefault="00A62C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EE" w:rsidRDefault="006321EE">
      <w:r>
        <w:separator/>
      </w:r>
    </w:p>
  </w:footnote>
  <w:footnote w:type="continuationSeparator" w:id="0">
    <w:p w:rsidR="006321EE" w:rsidRDefault="00632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D" w:rsidRDefault="00A62C2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1BD8CB27" wp14:editId="66F665D7">
          <wp:simplePos x="0" y="0"/>
          <wp:positionH relativeFrom="column">
            <wp:posOffset>-28575</wp:posOffset>
          </wp:positionH>
          <wp:positionV relativeFrom="paragraph">
            <wp:posOffset>-105410</wp:posOffset>
          </wp:positionV>
          <wp:extent cx="1485900" cy="534670"/>
          <wp:effectExtent l="0" t="0" r="0" b="0"/>
          <wp:wrapNone/>
          <wp:docPr id="8"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9016B" w:rsidRDefault="006321EE" w:rsidP="0041396E">
    <w:pPr>
      <w:pStyle w:val="Nagwek"/>
      <w:tabs>
        <w:tab w:val="clear" w:pos="9072"/>
      </w:tabs>
    </w:pPr>
  </w:p>
  <w:p w:rsidR="0059016B" w:rsidRDefault="006321EE" w:rsidP="0041396E">
    <w:pPr>
      <w:pStyle w:val="Nagwek"/>
      <w:tabs>
        <w:tab w:val="clear"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D" w:rsidRDefault="00A62C2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B73"/>
    <w:multiLevelType w:val="multilevel"/>
    <w:tmpl w:val="A4D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32082"/>
    <w:multiLevelType w:val="hybridMultilevel"/>
    <w:tmpl w:val="8D10280A"/>
    <w:lvl w:ilvl="0" w:tplc="0415000F">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E7825A1"/>
    <w:multiLevelType w:val="hybridMultilevel"/>
    <w:tmpl w:val="A7CC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0D5D3E"/>
    <w:multiLevelType w:val="hybridMultilevel"/>
    <w:tmpl w:val="04CAF464"/>
    <w:lvl w:ilvl="0" w:tplc="DD9C47C6">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19FA"/>
    <w:multiLevelType w:val="hybridMultilevel"/>
    <w:tmpl w:val="40A6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271229"/>
    <w:multiLevelType w:val="hybridMultilevel"/>
    <w:tmpl w:val="BEFA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405D3"/>
    <w:multiLevelType w:val="hybridMultilevel"/>
    <w:tmpl w:val="31F03E3E"/>
    <w:lvl w:ilvl="0" w:tplc="D722E7DE">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9CF5A5F"/>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F1AE1"/>
    <w:multiLevelType w:val="hybridMultilevel"/>
    <w:tmpl w:val="A43E8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D60AD"/>
    <w:multiLevelType w:val="hybridMultilevel"/>
    <w:tmpl w:val="1FB4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ED1677"/>
    <w:multiLevelType w:val="hybridMultilevel"/>
    <w:tmpl w:val="EC34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8296C"/>
    <w:multiLevelType w:val="hybridMultilevel"/>
    <w:tmpl w:val="B9E2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6B581D"/>
    <w:multiLevelType w:val="hybridMultilevel"/>
    <w:tmpl w:val="848A3530"/>
    <w:lvl w:ilvl="0" w:tplc="F90AB2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421C3"/>
    <w:multiLevelType w:val="hybridMultilevel"/>
    <w:tmpl w:val="C87CD12C"/>
    <w:lvl w:ilvl="0" w:tplc="FD94D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4F5713"/>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8"/>
  </w:num>
  <w:num w:numId="5">
    <w:abstractNumId w:val="7"/>
  </w:num>
  <w:num w:numId="6">
    <w:abstractNumId w:val="13"/>
  </w:num>
  <w:num w:numId="7">
    <w:abstractNumId w:val="1"/>
  </w:num>
  <w:num w:numId="8">
    <w:abstractNumId w:val="6"/>
  </w:num>
  <w:num w:numId="9">
    <w:abstractNumId w:val="10"/>
  </w:num>
  <w:num w:numId="10">
    <w:abstractNumId w:val="20"/>
  </w:num>
  <w:num w:numId="11">
    <w:abstractNumId w:val="12"/>
  </w:num>
  <w:num w:numId="12">
    <w:abstractNumId w:val="19"/>
  </w:num>
  <w:num w:numId="13">
    <w:abstractNumId w:val="2"/>
  </w:num>
  <w:num w:numId="14">
    <w:abstractNumId w:val="5"/>
  </w:num>
  <w:num w:numId="15">
    <w:abstractNumId w:val="3"/>
  </w:num>
  <w:num w:numId="16">
    <w:abstractNumId w:val="16"/>
  </w:num>
  <w:num w:numId="17">
    <w:abstractNumId w:val="17"/>
  </w:num>
  <w:num w:numId="18">
    <w:abstractNumId w:val="14"/>
  </w:num>
  <w:num w:numId="19">
    <w:abstractNumId w:val="8"/>
  </w:num>
  <w:num w:numId="20">
    <w:abstractNumId w:val="4"/>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18D7"/>
    <w:rsid w:val="00001EE9"/>
    <w:rsid w:val="00002C19"/>
    <w:rsid w:val="000035A0"/>
    <w:rsid w:val="00004AB2"/>
    <w:rsid w:val="0000713A"/>
    <w:rsid w:val="00007E00"/>
    <w:rsid w:val="00011AF2"/>
    <w:rsid w:val="0001245E"/>
    <w:rsid w:val="00023634"/>
    <w:rsid w:val="00037230"/>
    <w:rsid w:val="00041499"/>
    <w:rsid w:val="00042F96"/>
    <w:rsid w:val="0005050A"/>
    <w:rsid w:val="00052274"/>
    <w:rsid w:val="00052D47"/>
    <w:rsid w:val="0006141F"/>
    <w:rsid w:val="00061526"/>
    <w:rsid w:val="000651E9"/>
    <w:rsid w:val="000715E6"/>
    <w:rsid w:val="00073AA7"/>
    <w:rsid w:val="0008336D"/>
    <w:rsid w:val="00084DFF"/>
    <w:rsid w:val="00091074"/>
    <w:rsid w:val="000A74FA"/>
    <w:rsid w:val="000B149D"/>
    <w:rsid w:val="000B1AC5"/>
    <w:rsid w:val="000B709F"/>
    <w:rsid w:val="000B7247"/>
    <w:rsid w:val="000C4BD4"/>
    <w:rsid w:val="000C6BD8"/>
    <w:rsid w:val="000C7A51"/>
    <w:rsid w:val="000D1D47"/>
    <w:rsid w:val="000D6647"/>
    <w:rsid w:val="000E3CAE"/>
    <w:rsid w:val="000E6F07"/>
    <w:rsid w:val="0010475A"/>
    <w:rsid w:val="00104E4E"/>
    <w:rsid w:val="00104F66"/>
    <w:rsid w:val="0010559C"/>
    <w:rsid w:val="00107844"/>
    <w:rsid w:val="001129AD"/>
    <w:rsid w:val="00113708"/>
    <w:rsid w:val="00120FBD"/>
    <w:rsid w:val="0012424D"/>
    <w:rsid w:val="0013159A"/>
    <w:rsid w:val="00131D51"/>
    <w:rsid w:val="00132084"/>
    <w:rsid w:val="00134D9E"/>
    <w:rsid w:val="00135455"/>
    <w:rsid w:val="00135B6D"/>
    <w:rsid w:val="00136714"/>
    <w:rsid w:val="00143310"/>
    <w:rsid w:val="00143E5A"/>
    <w:rsid w:val="00144E9C"/>
    <w:rsid w:val="0014568F"/>
    <w:rsid w:val="00161094"/>
    <w:rsid w:val="00163DF9"/>
    <w:rsid w:val="001666D6"/>
    <w:rsid w:val="00166B5D"/>
    <w:rsid w:val="001675EF"/>
    <w:rsid w:val="0017028A"/>
    <w:rsid w:val="00173706"/>
    <w:rsid w:val="00174A43"/>
    <w:rsid w:val="00177B79"/>
    <w:rsid w:val="00177F38"/>
    <w:rsid w:val="00181AD4"/>
    <w:rsid w:val="001833FD"/>
    <w:rsid w:val="0018563A"/>
    <w:rsid w:val="00190040"/>
    <w:rsid w:val="00190D5A"/>
    <w:rsid w:val="001957CC"/>
    <w:rsid w:val="001972CA"/>
    <w:rsid w:val="001979B5"/>
    <w:rsid w:val="001A5F7C"/>
    <w:rsid w:val="001A63FA"/>
    <w:rsid w:val="001A6E5B"/>
    <w:rsid w:val="001A7451"/>
    <w:rsid w:val="001B150C"/>
    <w:rsid w:val="001C1FAD"/>
    <w:rsid w:val="001C533C"/>
    <w:rsid w:val="001C584E"/>
    <w:rsid w:val="001E188E"/>
    <w:rsid w:val="001E4F92"/>
    <w:rsid w:val="001F4A73"/>
    <w:rsid w:val="001F74CD"/>
    <w:rsid w:val="00203093"/>
    <w:rsid w:val="00205580"/>
    <w:rsid w:val="002157BB"/>
    <w:rsid w:val="00215BCE"/>
    <w:rsid w:val="00225BA1"/>
    <w:rsid w:val="002262B5"/>
    <w:rsid w:val="002265FE"/>
    <w:rsid w:val="0023138D"/>
    <w:rsid w:val="00235711"/>
    <w:rsid w:val="0024118E"/>
    <w:rsid w:val="00241BAC"/>
    <w:rsid w:val="00260382"/>
    <w:rsid w:val="002619AD"/>
    <w:rsid w:val="0026699A"/>
    <w:rsid w:val="00266CB4"/>
    <w:rsid w:val="00267DD1"/>
    <w:rsid w:val="00275A85"/>
    <w:rsid w:val="00277B58"/>
    <w:rsid w:val="002801AA"/>
    <w:rsid w:val="00281949"/>
    <w:rsid w:val="0029292E"/>
    <w:rsid w:val="002946D3"/>
    <w:rsid w:val="00294A11"/>
    <w:rsid w:val="00295B34"/>
    <w:rsid w:val="00295B55"/>
    <w:rsid w:val="002A3FC2"/>
    <w:rsid w:val="002A4485"/>
    <w:rsid w:val="002A5D69"/>
    <w:rsid w:val="002B1DBF"/>
    <w:rsid w:val="002B6640"/>
    <w:rsid w:val="002C035E"/>
    <w:rsid w:val="002C0D5D"/>
    <w:rsid w:val="002C4F6A"/>
    <w:rsid w:val="002C692D"/>
    <w:rsid w:val="002C6ABE"/>
    <w:rsid w:val="002D548E"/>
    <w:rsid w:val="002D55E3"/>
    <w:rsid w:val="002E388C"/>
    <w:rsid w:val="002E464A"/>
    <w:rsid w:val="002E6508"/>
    <w:rsid w:val="002F1BF3"/>
    <w:rsid w:val="002F2118"/>
    <w:rsid w:val="002F4D43"/>
    <w:rsid w:val="00300B96"/>
    <w:rsid w:val="00302A12"/>
    <w:rsid w:val="00303D40"/>
    <w:rsid w:val="003056C6"/>
    <w:rsid w:val="00310C10"/>
    <w:rsid w:val="00311B14"/>
    <w:rsid w:val="00324306"/>
    <w:rsid w:val="00326A49"/>
    <w:rsid w:val="003278D6"/>
    <w:rsid w:val="003303F0"/>
    <w:rsid w:val="0034059B"/>
    <w:rsid w:val="00343094"/>
    <w:rsid w:val="00344D94"/>
    <w:rsid w:val="003458CD"/>
    <w:rsid w:val="0035019C"/>
    <w:rsid w:val="003504DC"/>
    <w:rsid w:val="00360248"/>
    <w:rsid w:val="003617C6"/>
    <w:rsid w:val="003660FA"/>
    <w:rsid w:val="00366A46"/>
    <w:rsid w:val="0037122F"/>
    <w:rsid w:val="00377A0D"/>
    <w:rsid w:val="00381B64"/>
    <w:rsid w:val="0038677D"/>
    <w:rsid w:val="003929E8"/>
    <w:rsid w:val="0039348D"/>
    <w:rsid w:val="00393689"/>
    <w:rsid w:val="003964F8"/>
    <w:rsid w:val="003A4A69"/>
    <w:rsid w:val="003A5D7A"/>
    <w:rsid w:val="003D3FF4"/>
    <w:rsid w:val="003D61F2"/>
    <w:rsid w:val="003D7161"/>
    <w:rsid w:val="003E3F9D"/>
    <w:rsid w:val="003E69E5"/>
    <w:rsid w:val="003F387C"/>
    <w:rsid w:val="003F3C31"/>
    <w:rsid w:val="003F572D"/>
    <w:rsid w:val="00403D17"/>
    <w:rsid w:val="0040748E"/>
    <w:rsid w:val="00412206"/>
    <w:rsid w:val="00416AB1"/>
    <w:rsid w:val="00417B79"/>
    <w:rsid w:val="00421070"/>
    <w:rsid w:val="00423F92"/>
    <w:rsid w:val="00427E08"/>
    <w:rsid w:val="00430FB7"/>
    <w:rsid w:val="00432C5A"/>
    <w:rsid w:val="004349BA"/>
    <w:rsid w:val="0043575C"/>
    <w:rsid w:val="004365C7"/>
    <w:rsid w:val="00437609"/>
    <w:rsid w:val="00441325"/>
    <w:rsid w:val="004425B7"/>
    <w:rsid w:val="00444A85"/>
    <w:rsid w:val="004501DD"/>
    <w:rsid w:val="004627EE"/>
    <w:rsid w:val="00462CFA"/>
    <w:rsid w:val="004634FA"/>
    <w:rsid w:val="00463BBC"/>
    <w:rsid w:val="00466CE0"/>
    <w:rsid w:val="004672BA"/>
    <w:rsid w:val="0047315F"/>
    <w:rsid w:val="004745B0"/>
    <w:rsid w:val="004774A0"/>
    <w:rsid w:val="00483AF3"/>
    <w:rsid w:val="00486DB1"/>
    <w:rsid w:val="00487342"/>
    <w:rsid w:val="00493E10"/>
    <w:rsid w:val="00497273"/>
    <w:rsid w:val="004972E8"/>
    <w:rsid w:val="004A05E8"/>
    <w:rsid w:val="004C0F9E"/>
    <w:rsid w:val="004C1243"/>
    <w:rsid w:val="004C500F"/>
    <w:rsid w:val="004C5C26"/>
    <w:rsid w:val="004D05D5"/>
    <w:rsid w:val="004D214B"/>
    <w:rsid w:val="004D52FA"/>
    <w:rsid w:val="004F43A0"/>
    <w:rsid w:val="004F711B"/>
    <w:rsid w:val="004F7E99"/>
    <w:rsid w:val="005003F9"/>
    <w:rsid w:val="0050417B"/>
    <w:rsid w:val="005133CE"/>
    <w:rsid w:val="00514A07"/>
    <w:rsid w:val="00517764"/>
    <w:rsid w:val="00521BA3"/>
    <w:rsid w:val="00523E0D"/>
    <w:rsid w:val="00525588"/>
    <w:rsid w:val="00526041"/>
    <w:rsid w:val="0052710E"/>
    <w:rsid w:val="005303DF"/>
    <w:rsid w:val="0053247D"/>
    <w:rsid w:val="00542115"/>
    <w:rsid w:val="005442FC"/>
    <w:rsid w:val="0055631D"/>
    <w:rsid w:val="00570CE4"/>
    <w:rsid w:val="00570DF8"/>
    <w:rsid w:val="0057333C"/>
    <w:rsid w:val="00583276"/>
    <w:rsid w:val="005833D9"/>
    <w:rsid w:val="00593935"/>
    <w:rsid w:val="00595636"/>
    <w:rsid w:val="00596B48"/>
    <w:rsid w:val="005973FD"/>
    <w:rsid w:val="00597C68"/>
    <w:rsid w:val="005A0B3A"/>
    <w:rsid w:val="005A1233"/>
    <w:rsid w:val="005A382B"/>
    <w:rsid w:val="005A4047"/>
    <w:rsid w:val="005A5AEB"/>
    <w:rsid w:val="005C0D39"/>
    <w:rsid w:val="005C0EB4"/>
    <w:rsid w:val="005C550F"/>
    <w:rsid w:val="005C6232"/>
    <w:rsid w:val="005D0AE7"/>
    <w:rsid w:val="005D1933"/>
    <w:rsid w:val="005D6323"/>
    <w:rsid w:val="005D6F7A"/>
    <w:rsid w:val="005D71EB"/>
    <w:rsid w:val="005E1480"/>
    <w:rsid w:val="005E28E4"/>
    <w:rsid w:val="005E32DD"/>
    <w:rsid w:val="005E3CEE"/>
    <w:rsid w:val="005E78EE"/>
    <w:rsid w:val="005F139F"/>
    <w:rsid w:val="005F1EBD"/>
    <w:rsid w:val="005F74CC"/>
    <w:rsid w:val="006063D0"/>
    <w:rsid w:val="00610F7B"/>
    <w:rsid w:val="00612F96"/>
    <w:rsid w:val="00613BD2"/>
    <w:rsid w:val="00613C45"/>
    <w:rsid w:val="0062000D"/>
    <w:rsid w:val="006208D2"/>
    <w:rsid w:val="006321EE"/>
    <w:rsid w:val="00633715"/>
    <w:rsid w:val="00633D4E"/>
    <w:rsid w:val="00634821"/>
    <w:rsid w:val="0063526F"/>
    <w:rsid w:val="00637E86"/>
    <w:rsid w:val="00640847"/>
    <w:rsid w:val="006422DE"/>
    <w:rsid w:val="006439FA"/>
    <w:rsid w:val="00663B49"/>
    <w:rsid w:val="00667FF0"/>
    <w:rsid w:val="00672C2A"/>
    <w:rsid w:val="0067485D"/>
    <w:rsid w:val="00687F2F"/>
    <w:rsid w:val="0069527B"/>
    <w:rsid w:val="00697D7F"/>
    <w:rsid w:val="006A2065"/>
    <w:rsid w:val="006A3D88"/>
    <w:rsid w:val="006A4A7A"/>
    <w:rsid w:val="006B0848"/>
    <w:rsid w:val="006B5E0B"/>
    <w:rsid w:val="006B628A"/>
    <w:rsid w:val="006B733D"/>
    <w:rsid w:val="006C34AE"/>
    <w:rsid w:val="006C4929"/>
    <w:rsid w:val="006C67AF"/>
    <w:rsid w:val="006D3DC5"/>
    <w:rsid w:val="006D4C87"/>
    <w:rsid w:val="006E3EBA"/>
    <w:rsid w:val="006F0291"/>
    <w:rsid w:val="006F0B6A"/>
    <w:rsid w:val="006F143B"/>
    <w:rsid w:val="006F229E"/>
    <w:rsid w:val="00700302"/>
    <w:rsid w:val="00702738"/>
    <w:rsid w:val="007039EC"/>
    <w:rsid w:val="007043F3"/>
    <w:rsid w:val="00706F34"/>
    <w:rsid w:val="007078E7"/>
    <w:rsid w:val="0071572D"/>
    <w:rsid w:val="007157BA"/>
    <w:rsid w:val="007160C5"/>
    <w:rsid w:val="007169F9"/>
    <w:rsid w:val="007174A6"/>
    <w:rsid w:val="007224B3"/>
    <w:rsid w:val="00722B4A"/>
    <w:rsid w:val="0072315F"/>
    <w:rsid w:val="00723613"/>
    <w:rsid w:val="00723C75"/>
    <w:rsid w:val="0072524C"/>
    <w:rsid w:val="00731203"/>
    <w:rsid w:val="00731303"/>
    <w:rsid w:val="007402E0"/>
    <w:rsid w:val="0074489D"/>
    <w:rsid w:val="0074603F"/>
    <w:rsid w:val="007514AD"/>
    <w:rsid w:val="00753654"/>
    <w:rsid w:val="0075524D"/>
    <w:rsid w:val="007560B0"/>
    <w:rsid w:val="00756725"/>
    <w:rsid w:val="00756922"/>
    <w:rsid w:val="00761D81"/>
    <w:rsid w:val="007627D7"/>
    <w:rsid w:val="007648A0"/>
    <w:rsid w:val="007663E0"/>
    <w:rsid w:val="00776C4F"/>
    <w:rsid w:val="007838E4"/>
    <w:rsid w:val="007846DC"/>
    <w:rsid w:val="007867CE"/>
    <w:rsid w:val="00797EF9"/>
    <w:rsid w:val="007A0A5C"/>
    <w:rsid w:val="007A19D8"/>
    <w:rsid w:val="007A1DA1"/>
    <w:rsid w:val="007A2040"/>
    <w:rsid w:val="007B309F"/>
    <w:rsid w:val="007B7A18"/>
    <w:rsid w:val="007C5FB7"/>
    <w:rsid w:val="007C7F00"/>
    <w:rsid w:val="007D0829"/>
    <w:rsid w:val="007E2B46"/>
    <w:rsid w:val="007E32AC"/>
    <w:rsid w:val="007E36E4"/>
    <w:rsid w:val="007E5E8C"/>
    <w:rsid w:val="007E60DE"/>
    <w:rsid w:val="007F0ACE"/>
    <w:rsid w:val="007F2C43"/>
    <w:rsid w:val="007F3706"/>
    <w:rsid w:val="007F7995"/>
    <w:rsid w:val="007F7BEF"/>
    <w:rsid w:val="00804024"/>
    <w:rsid w:val="00814311"/>
    <w:rsid w:val="0081753E"/>
    <w:rsid w:val="00831C3E"/>
    <w:rsid w:val="0084239D"/>
    <w:rsid w:val="0085010E"/>
    <w:rsid w:val="00852121"/>
    <w:rsid w:val="0085454F"/>
    <w:rsid w:val="00854823"/>
    <w:rsid w:val="0086068B"/>
    <w:rsid w:val="00862BA9"/>
    <w:rsid w:val="008657F6"/>
    <w:rsid w:val="00865F32"/>
    <w:rsid w:val="008704A2"/>
    <w:rsid w:val="008713FC"/>
    <w:rsid w:val="0087354F"/>
    <w:rsid w:val="00874A84"/>
    <w:rsid w:val="0088147E"/>
    <w:rsid w:val="00882D34"/>
    <w:rsid w:val="00885708"/>
    <w:rsid w:val="0089603B"/>
    <w:rsid w:val="00896985"/>
    <w:rsid w:val="008A1B4E"/>
    <w:rsid w:val="008B6B14"/>
    <w:rsid w:val="008C45B5"/>
    <w:rsid w:val="008C53D0"/>
    <w:rsid w:val="008C5D7A"/>
    <w:rsid w:val="008D4961"/>
    <w:rsid w:val="008D527A"/>
    <w:rsid w:val="008D56DA"/>
    <w:rsid w:val="008D5771"/>
    <w:rsid w:val="008E73E0"/>
    <w:rsid w:val="008F1DED"/>
    <w:rsid w:val="008F2D09"/>
    <w:rsid w:val="008F472E"/>
    <w:rsid w:val="008F5FCD"/>
    <w:rsid w:val="009005A5"/>
    <w:rsid w:val="00902556"/>
    <w:rsid w:val="0090338C"/>
    <w:rsid w:val="00907B9F"/>
    <w:rsid w:val="0091048E"/>
    <w:rsid w:val="00913E83"/>
    <w:rsid w:val="0092138B"/>
    <w:rsid w:val="00924ABC"/>
    <w:rsid w:val="00926F28"/>
    <w:rsid w:val="00933BB9"/>
    <w:rsid w:val="00940E8F"/>
    <w:rsid w:val="00947025"/>
    <w:rsid w:val="00950730"/>
    <w:rsid w:val="00950F08"/>
    <w:rsid w:val="0095218A"/>
    <w:rsid w:val="00952AC0"/>
    <w:rsid w:val="0095309C"/>
    <w:rsid w:val="009652F2"/>
    <w:rsid w:val="00970E53"/>
    <w:rsid w:val="009719ED"/>
    <w:rsid w:val="0097774C"/>
    <w:rsid w:val="00984475"/>
    <w:rsid w:val="00986C37"/>
    <w:rsid w:val="00990F79"/>
    <w:rsid w:val="009935C9"/>
    <w:rsid w:val="00994299"/>
    <w:rsid w:val="00994871"/>
    <w:rsid w:val="00997074"/>
    <w:rsid w:val="00997528"/>
    <w:rsid w:val="0099796A"/>
    <w:rsid w:val="009B08B2"/>
    <w:rsid w:val="009B0E09"/>
    <w:rsid w:val="009B1BE0"/>
    <w:rsid w:val="009B1C15"/>
    <w:rsid w:val="009B4B94"/>
    <w:rsid w:val="009B66D9"/>
    <w:rsid w:val="009C1346"/>
    <w:rsid w:val="009D05C8"/>
    <w:rsid w:val="009D30F9"/>
    <w:rsid w:val="009D4CCC"/>
    <w:rsid w:val="009D50EC"/>
    <w:rsid w:val="009D6444"/>
    <w:rsid w:val="009D6620"/>
    <w:rsid w:val="009E3C0B"/>
    <w:rsid w:val="009F0DC3"/>
    <w:rsid w:val="009F1362"/>
    <w:rsid w:val="009F1D84"/>
    <w:rsid w:val="009F7F3A"/>
    <w:rsid w:val="00A043C6"/>
    <w:rsid w:val="00A06576"/>
    <w:rsid w:val="00A13244"/>
    <w:rsid w:val="00A132A4"/>
    <w:rsid w:val="00A134F9"/>
    <w:rsid w:val="00A20ABA"/>
    <w:rsid w:val="00A233B0"/>
    <w:rsid w:val="00A239AA"/>
    <w:rsid w:val="00A25C11"/>
    <w:rsid w:val="00A27337"/>
    <w:rsid w:val="00A33C77"/>
    <w:rsid w:val="00A40C98"/>
    <w:rsid w:val="00A439E8"/>
    <w:rsid w:val="00A45753"/>
    <w:rsid w:val="00A53423"/>
    <w:rsid w:val="00A542C6"/>
    <w:rsid w:val="00A623A8"/>
    <w:rsid w:val="00A62659"/>
    <w:rsid w:val="00A62C2D"/>
    <w:rsid w:val="00A65F20"/>
    <w:rsid w:val="00A727B6"/>
    <w:rsid w:val="00A753C6"/>
    <w:rsid w:val="00A76293"/>
    <w:rsid w:val="00A77DA2"/>
    <w:rsid w:val="00A85D9D"/>
    <w:rsid w:val="00A906FE"/>
    <w:rsid w:val="00A90925"/>
    <w:rsid w:val="00A90C6B"/>
    <w:rsid w:val="00A92C4C"/>
    <w:rsid w:val="00A94D32"/>
    <w:rsid w:val="00AA5B57"/>
    <w:rsid w:val="00AA602D"/>
    <w:rsid w:val="00AB572D"/>
    <w:rsid w:val="00AC6EB0"/>
    <w:rsid w:val="00AD0DEE"/>
    <w:rsid w:val="00AD1E7D"/>
    <w:rsid w:val="00AD5C6D"/>
    <w:rsid w:val="00AE0451"/>
    <w:rsid w:val="00AE2923"/>
    <w:rsid w:val="00AE5332"/>
    <w:rsid w:val="00AE5A6B"/>
    <w:rsid w:val="00AE7F9D"/>
    <w:rsid w:val="00AF44E0"/>
    <w:rsid w:val="00AF605C"/>
    <w:rsid w:val="00B028F7"/>
    <w:rsid w:val="00B22863"/>
    <w:rsid w:val="00B3085A"/>
    <w:rsid w:val="00B336C4"/>
    <w:rsid w:val="00B33A29"/>
    <w:rsid w:val="00B41502"/>
    <w:rsid w:val="00B51024"/>
    <w:rsid w:val="00B51D6D"/>
    <w:rsid w:val="00B5318B"/>
    <w:rsid w:val="00B60CD8"/>
    <w:rsid w:val="00B60F9C"/>
    <w:rsid w:val="00B6757D"/>
    <w:rsid w:val="00B6769E"/>
    <w:rsid w:val="00B7346D"/>
    <w:rsid w:val="00B73600"/>
    <w:rsid w:val="00B73F22"/>
    <w:rsid w:val="00B7416E"/>
    <w:rsid w:val="00B76F9A"/>
    <w:rsid w:val="00B810B2"/>
    <w:rsid w:val="00BA1766"/>
    <w:rsid w:val="00BA26F7"/>
    <w:rsid w:val="00BA6487"/>
    <w:rsid w:val="00BA79F0"/>
    <w:rsid w:val="00BB5068"/>
    <w:rsid w:val="00BB7AE8"/>
    <w:rsid w:val="00BC1E29"/>
    <w:rsid w:val="00BC2CB1"/>
    <w:rsid w:val="00BC4EC6"/>
    <w:rsid w:val="00BD0481"/>
    <w:rsid w:val="00BD07B9"/>
    <w:rsid w:val="00BD18FB"/>
    <w:rsid w:val="00BD4447"/>
    <w:rsid w:val="00BE2623"/>
    <w:rsid w:val="00BE3923"/>
    <w:rsid w:val="00BE4BF0"/>
    <w:rsid w:val="00BE5EE5"/>
    <w:rsid w:val="00BE68EE"/>
    <w:rsid w:val="00BE7F63"/>
    <w:rsid w:val="00BF12A7"/>
    <w:rsid w:val="00BF45FB"/>
    <w:rsid w:val="00BF6AB9"/>
    <w:rsid w:val="00C03289"/>
    <w:rsid w:val="00C0525B"/>
    <w:rsid w:val="00C06B14"/>
    <w:rsid w:val="00C12208"/>
    <w:rsid w:val="00C123B1"/>
    <w:rsid w:val="00C21071"/>
    <w:rsid w:val="00C2398C"/>
    <w:rsid w:val="00C25569"/>
    <w:rsid w:val="00C27366"/>
    <w:rsid w:val="00C36392"/>
    <w:rsid w:val="00C574E1"/>
    <w:rsid w:val="00C63AA8"/>
    <w:rsid w:val="00C64606"/>
    <w:rsid w:val="00C67D30"/>
    <w:rsid w:val="00C67FAE"/>
    <w:rsid w:val="00C7783C"/>
    <w:rsid w:val="00C87FBC"/>
    <w:rsid w:val="00C90888"/>
    <w:rsid w:val="00CA00A8"/>
    <w:rsid w:val="00CA5847"/>
    <w:rsid w:val="00CA6B58"/>
    <w:rsid w:val="00CB1AE6"/>
    <w:rsid w:val="00CB3ED4"/>
    <w:rsid w:val="00CB3F86"/>
    <w:rsid w:val="00CB51A7"/>
    <w:rsid w:val="00CB7A6A"/>
    <w:rsid w:val="00CC1720"/>
    <w:rsid w:val="00CC39CB"/>
    <w:rsid w:val="00CC69DC"/>
    <w:rsid w:val="00CC71E7"/>
    <w:rsid w:val="00CD34F0"/>
    <w:rsid w:val="00CD3C16"/>
    <w:rsid w:val="00CD4EEA"/>
    <w:rsid w:val="00CD5FE7"/>
    <w:rsid w:val="00CE0954"/>
    <w:rsid w:val="00CE3592"/>
    <w:rsid w:val="00CF026D"/>
    <w:rsid w:val="00CF11F7"/>
    <w:rsid w:val="00CF2646"/>
    <w:rsid w:val="00CF69EC"/>
    <w:rsid w:val="00D05112"/>
    <w:rsid w:val="00D13212"/>
    <w:rsid w:val="00D1323F"/>
    <w:rsid w:val="00D202BA"/>
    <w:rsid w:val="00D251AC"/>
    <w:rsid w:val="00D3402A"/>
    <w:rsid w:val="00D415F8"/>
    <w:rsid w:val="00D43766"/>
    <w:rsid w:val="00D4519F"/>
    <w:rsid w:val="00D45E22"/>
    <w:rsid w:val="00D468CA"/>
    <w:rsid w:val="00D46A0B"/>
    <w:rsid w:val="00D47CCF"/>
    <w:rsid w:val="00D50B33"/>
    <w:rsid w:val="00D53A1F"/>
    <w:rsid w:val="00D56103"/>
    <w:rsid w:val="00D62C26"/>
    <w:rsid w:val="00D6457B"/>
    <w:rsid w:val="00D66DEC"/>
    <w:rsid w:val="00D71A41"/>
    <w:rsid w:val="00D768A4"/>
    <w:rsid w:val="00D8375A"/>
    <w:rsid w:val="00D91E49"/>
    <w:rsid w:val="00D92F52"/>
    <w:rsid w:val="00D93242"/>
    <w:rsid w:val="00D963FA"/>
    <w:rsid w:val="00DA3139"/>
    <w:rsid w:val="00DA6BE7"/>
    <w:rsid w:val="00DA753F"/>
    <w:rsid w:val="00DB4E51"/>
    <w:rsid w:val="00DC182C"/>
    <w:rsid w:val="00DC5754"/>
    <w:rsid w:val="00DD34A3"/>
    <w:rsid w:val="00DD5566"/>
    <w:rsid w:val="00DD6056"/>
    <w:rsid w:val="00DE4CD2"/>
    <w:rsid w:val="00DE7B13"/>
    <w:rsid w:val="00DE7C6A"/>
    <w:rsid w:val="00DF1BA2"/>
    <w:rsid w:val="00DF2857"/>
    <w:rsid w:val="00DF34D6"/>
    <w:rsid w:val="00DF6EFD"/>
    <w:rsid w:val="00DF782B"/>
    <w:rsid w:val="00E00E18"/>
    <w:rsid w:val="00E0225A"/>
    <w:rsid w:val="00E025A0"/>
    <w:rsid w:val="00E028D1"/>
    <w:rsid w:val="00E03AEF"/>
    <w:rsid w:val="00E102DE"/>
    <w:rsid w:val="00E20DB1"/>
    <w:rsid w:val="00E24825"/>
    <w:rsid w:val="00E27A22"/>
    <w:rsid w:val="00E3189E"/>
    <w:rsid w:val="00E41106"/>
    <w:rsid w:val="00E42093"/>
    <w:rsid w:val="00E44115"/>
    <w:rsid w:val="00E45FE0"/>
    <w:rsid w:val="00E469AE"/>
    <w:rsid w:val="00E4729A"/>
    <w:rsid w:val="00E522AD"/>
    <w:rsid w:val="00E600BE"/>
    <w:rsid w:val="00E64103"/>
    <w:rsid w:val="00E65ECD"/>
    <w:rsid w:val="00E67F0D"/>
    <w:rsid w:val="00E73196"/>
    <w:rsid w:val="00E7607B"/>
    <w:rsid w:val="00E76CD1"/>
    <w:rsid w:val="00E817DF"/>
    <w:rsid w:val="00E82F35"/>
    <w:rsid w:val="00E94F07"/>
    <w:rsid w:val="00E966D9"/>
    <w:rsid w:val="00EA20EC"/>
    <w:rsid w:val="00EA36D7"/>
    <w:rsid w:val="00EB18B9"/>
    <w:rsid w:val="00EB7BCA"/>
    <w:rsid w:val="00EC0038"/>
    <w:rsid w:val="00EC047F"/>
    <w:rsid w:val="00ED1089"/>
    <w:rsid w:val="00ED42C4"/>
    <w:rsid w:val="00ED66F9"/>
    <w:rsid w:val="00EE4AD8"/>
    <w:rsid w:val="00EE4E0C"/>
    <w:rsid w:val="00F01754"/>
    <w:rsid w:val="00F01F31"/>
    <w:rsid w:val="00F05C4E"/>
    <w:rsid w:val="00F139AC"/>
    <w:rsid w:val="00F21EAC"/>
    <w:rsid w:val="00F24B7C"/>
    <w:rsid w:val="00F277BF"/>
    <w:rsid w:val="00F3218E"/>
    <w:rsid w:val="00F3243D"/>
    <w:rsid w:val="00F46D0D"/>
    <w:rsid w:val="00F6695B"/>
    <w:rsid w:val="00F72FAE"/>
    <w:rsid w:val="00F745E3"/>
    <w:rsid w:val="00F74DAF"/>
    <w:rsid w:val="00F75625"/>
    <w:rsid w:val="00F80B63"/>
    <w:rsid w:val="00F828C2"/>
    <w:rsid w:val="00F831A1"/>
    <w:rsid w:val="00F83748"/>
    <w:rsid w:val="00F83896"/>
    <w:rsid w:val="00F903E9"/>
    <w:rsid w:val="00F90470"/>
    <w:rsid w:val="00F91AFD"/>
    <w:rsid w:val="00F928E4"/>
    <w:rsid w:val="00F92B59"/>
    <w:rsid w:val="00F93FEB"/>
    <w:rsid w:val="00F94710"/>
    <w:rsid w:val="00F948BC"/>
    <w:rsid w:val="00F94B66"/>
    <w:rsid w:val="00F960CF"/>
    <w:rsid w:val="00F965B9"/>
    <w:rsid w:val="00F979EC"/>
    <w:rsid w:val="00FA10A3"/>
    <w:rsid w:val="00FA1226"/>
    <w:rsid w:val="00FA1824"/>
    <w:rsid w:val="00FA286C"/>
    <w:rsid w:val="00FB6979"/>
    <w:rsid w:val="00FB6BEB"/>
    <w:rsid w:val="00FC1F8C"/>
    <w:rsid w:val="00FC5A16"/>
    <w:rsid w:val="00FD09D8"/>
    <w:rsid w:val="00FD3279"/>
    <w:rsid w:val="00FD60D0"/>
    <w:rsid w:val="00FE0E9C"/>
    <w:rsid w:val="00FE2854"/>
    <w:rsid w:val="00FE3C9C"/>
    <w:rsid w:val="00FE6541"/>
    <w:rsid w:val="00FE665B"/>
    <w:rsid w:val="00FF0F67"/>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B6A4"/>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customStyle="1" w:styleId="mcntmcntmsonormal">
    <w:name w:val="mcntmcntmsonormal"/>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bodytext2">
    <w:name w:val="mcntmcntmsobodytext2"/>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commenttext">
    <w:name w:val="mcntmcntmsocommenttext"/>
    <w:basedOn w:val="Normalny"/>
    <w:rsid w:val="00190040"/>
    <w:pPr>
      <w:spacing w:before="100" w:beforeAutospacing="1" w:after="100" w:afterAutospacing="1"/>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B7346D"/>
    <w:rPr>
      <w:sz w:val="20"/>
      <w:szCs w:val="20"/>
    </w:rPr>
  </w:style>
  <w:style w:type="character" w:customStyle="1" w:styleId="TekstprzypisukocowegoZnak">
    <w:name w:val="Tekst przypisu końcowego Znak"/>
    <w:basedOn w:val="Domylnaczcionkaakapitu"/>
    <w:link w:val="Tekstprzypisukocowego"/>
    <w:uiPriority w:val="99"/>
    <w:semiHidden/>
    <w:rsid w:val="00B7346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7346D"/>
    <w:rPr>
      <w:vertAlign w:val="superscript"/>
    </w:rPr>
  </w:style>
  <w:style w:type="character" w:customStyle="1" w:styleId="Nierozpoznanawzmianka1">
    <w:name w:val="Nierozpoznana wzmianka1"/>
    <w:basedOn w:val="Domylnaczcionkaakapitu"/>
    <w:uiPriority w:val="99"/>
    <w:semiHidden/>
    <w:unhideWhenUsed/>
    <w:rsid w:val="009F0DC3"/>
    <w:rPr>
      <w:color w:val="605E5C"/>
      <w:shd w:val="clear" w:color="auto" w:fill="E1DFDD"/>
    </w:rPr>
  </w:style>
  <w:style w:type="character" w:styleId="Wyrnienieintensywne">
    <w:name w:val="Intense Emphasis"/>
    <w:basedOn w:val="Domylnaczcionkaakapitu"/>
    <w:uiPriority w:val="21"/>
    <w:qFormat/>
    <w:rsid w:val="00181AD4"/>
    <w:rPr>
      <w:i/>
      <w:iCs/>
      <w:color w:val="5B9BD5" w:themeColor="accent1"/>
    </w:rPr>
  </w:style>
  <w:style w:type="paragraph" w:styleId="Bezodstpw">
    <w:name w:val="No Spacing"/>
    <w:uiPriority w:val="1"/>
    <w:qFormat/>
    <w:rsid w:val="00723613"/>
    <w:pPr>
      <w:spacing w:after="0" w:line="240" w:lineRule="auto"/>
    </w:pPr>
    <w:rPr>
      <w:rFonts w:eastAsiaTheme="minorEastAsia"/>
      <w:sz w:val="24"/>
      <w:szCs w:val="24"/>
      <w:lang w:eastAsia="pl-PL"/>
    </w:rPr>
  </w:style>
  <w:style w:type="paragraph" w:styleId="Zwykytekst">
    <w:name w:val="Plain Text"/>
    <w:basedOn w:val="Normalny"/>
    <w:link w:val="ZwykytekstZnak"/>
    <w:uiPriority w:val="99"/>
    <w:unhideWhenUsed/>
    <w:rsid w:val="00723613"/>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723613"/>
    <w:rPr>
      <w:rFonts w:ascii="Calibri" w:hAnsi="Calibri"/>
      <w:szCs w:val="21"/>
    </w:rPr>
  </w:style>
  <w:style w:type="paragraph" w:customStyle="1" w:styleId="ZUSTzmustartykuempunktem">
    <w:name w:val="Z/UST(§) – zm. us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Ppogrubienie">
    <w:name w:val="_P_ – pogrubienie"/>
    <w:rsid w:val="00DA3139"/>
    <w:rPr>
      <w:rFonts w:ascii="Times New Roman" w:hAnsi="Times New Roman" w:cs="Times New Roman" w:hint="default"/>
      <w:b/>
      <w:bCs w:val="0"/>
    </w:rPr>
  </w:style>
  <w:style w:type="character" w:styleId="UyteHipercze">
    <w:name w:val="FollowedHyperlink"/>
    <w:basedOn w:val="Domylnaczcionkaakapitu"/>
    <w:uiPriority w:val="99"/>
    <w:semiHidden/>
    <w:unhideWhenUsed/>
    <w:rsid w:val="00FD3279"/>
    <w:rPr>
      <w:color w:val="954F72" w:themeColor="followedHyperlink"/>
      <w:u w:val="single"/>
    </w:rPr>
  </w:style>
  <w:style w:type="paragraph" w:styleId="NormalnyWeb">
    <w:name w:val="Normal (Web)"/>
    <w:basedOn w:val="Normalny"/>
    <w:uiPriority w:val="99"/>
    <w:unhideWhenUsed/>
    <w:rsid w:val="00CC39CB"/>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0774">
      <w:bodyDiv w:val="1"/>
      <w:marLeft w:val="0"/>
      <w:marRight w:val="0"/>
      <w:marTop w:val="0"/>
      <w:marBottom w:val="0"/>
      <w:divBdr>
        <w:top w:val="none" w:sz="0" w:space="0" w:color="auto"/>
        <w:left w:val="none" w:sz="0" w:space="0" w:color="auto"/>
        <w:bottom w:val="none" w:sz="0" w:space="0" w:color="auto"/>
        <w:right w:val="none" w:sz="0" w:space="0" w:color="auto"/>
      </w:divBdr>
    </w:div>
    <w:div w:id="491726677">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076986">
      <w:bodyDiv w:val="1"/>
      <w:marLeft w:val="0"/>
      <w:marRight w:val="0"/>
      <w:marTop w:val="0"/>
      <w:marBottom w:val="0"/>
      <w:divBdr>
        <w:top w:val="none" w:sz="0" w:space="0" w:color="auto"/>
        <w:left w:val="none" w:sz="0" w:space="0" w:color="auto"/>
        <w:bottom w:val="none" w:sz="0" w:space="0" w:color="auto"/>
        <w:right w:val="none" w:sz="0" w:space="0" w:color="auto"/>
      </w:divBdr>
    </w:div>
    <w:div w:id="836381811">
      <w:bodyDiv w:val="1"/>
      <w:marLeft w:val="0"/>
      <w:marRight w:val="0"/>
      <w:marTop w:val="0"/>
      <w:marBottom w:val="0"/>
      <w:divBdr>
        <w:top w:val="none" w:sz="0" w:space="0" w:color="auto"/>
        <w:left w:val="none" w:sz="0" w:space="0" w:color="auto"/>
        <w:bottom w:val="none" w:sz="0" w:space="0" w:color="auto"/>
        <w:right w:val="none" w:sz="0" w:space="0" w:color="auto"/>
      </w:divBdr>
    </w:div>
    <w:div w:id="852374491">
      <w:bodyDiv w:val="1"/>
      <w:marLeft w:val="0"/>
      <w:marRight w:val="0"/>
      <w:marTop w:val="0"/>
      <w:marBottom w:val="0"/>
      <w:divBdr>
        <w:top w:val="none" w:sz="0" w:space="0" w:color="auto"/>
        <w:left w:val="none" w:sz="0" w:space="0" w:color="auto"/>
        <w:bottom w:val="none" w:sz="0" w:space="0" w:color="auto"/>
        <w:right w:val="none" w:sz="0" w:space="0" w:color="auto"/>
      </w:divBdr>
    </w:div>
    <w:div w:id="1042093540">
      <w:bodyDiv w:val="1"/>
      <w:marLeft w:val="0"/>
      <w:marRight w:val="0"/>
      <w:marTop w:val="0"/>
      <w:marBottom w:val="0"/>
      <w:divBdr>
        <w:top w:val="none" w:sz="0" w:space="0" w:color="auto"/>
        <w:left w:val="none" w:sz="0" w:space="0" w:color="auto"/>
        <w:bottom w:val="none" w:sz="0" w:space="0" w:color="auto"/>
        <w:right w:val="none" w:sz="0" w:space="0" w:color="auto"/>
      </w:divBdr>
    </w:div>
    <w:div w:id="1055929477">
      <w:bodyDiv w:val="1"/>
      <w:marLeft w:val="0"/>
      <w:marRight w:val="0"/>
      <w:marTop w:val="0"/>
      <w:marBottom w:val="0"/>
      <w:divBdr>
        <w:top w:val="none" w:sz="0" w:space="0" w:color="auto"/>
        <w:left w:val="none" w:sz="0" w:space="0" w:color="auto"/>
        <w:bottom w:val="none" w:sz="0" w:space="0" w:color="auto"/>
        <w:right w:val="none" w:sz="0" w:space="0" w:color="auto"/>
      </w:divBdr>
    </w:div>
    <w:div w:id="112238343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58059">
      <w:bodyDiv w:val="1"/>
      <w:marLeft w:val="0"/>
      <w:marRight w:val="0"/>
      <w:marTop w:val="0"/>
      <w:marBottom w:val="0"/>
      <w:divBdr>
        <w:top w:val="none" w:sz="0" w:space="0" w:color="auto"/>
        <w:left w:val="none" w:sz="0" w:space="0" w:color="auto"/>
        <w:bottom w:val="none" w:sz="0" w:space="0" w:color="auto"/>
        <w:right w:val="none" w:sz="0" w:space="0" w:color="auto"/>
      </w:divBdr>
    </w:div>
    <w:div w:id="1612275322">
      <w:bodyDiv w:val="1"/>
      <w:marLeft w:val="0"/>
      <w:marRight w:val="0"/>
      <w:marTop w:val="0"/>
      <w:marBottom w:val="0"/>
      <w:divBdr>
        <w:top w:val="none" w:sz="0" w:space="0" w:color="auto"/>
        <w:left w:val="none" w:sz="0" w:space="0" w:color="auto"/>
        <w:bottom w:val="none" w:sz="0" w:space="0" w:color="auto"/>
        <w:right w:val="none" w:sz="0" w:space="0" w:color="auto"/>
      </w:divBdr>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aktualnosci.php?news_id=1646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kik.gov.pl/download.php?plik=246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nauka/oecd-organizacja-wspolpracy-gospodarczej-i-rozwoju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parl.europa.eu/factsheets/pl/sheet/169/the-european-economic-area-eea-switzerland-and-the-nort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8F3C-B687-41BB-AAD5-70160753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824</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8</cp:revision>
  <cp:lastPrinted>2020-07-20T13:56:00Z</cp:lastPrinted>
  <dcterms:created xsi:type="dcterms:W3CDTF">2020-07-21T13:42:00Z</dcterms:created>
  <dcterms:modified xsi:type="dcterms:W3CDTF">2020-07-27T08:37:00Z</dcterms:modified>
</cp:coreProperties>
</file>