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828E3" w14:textId="560398BF" w:rsidR="00531031" w:rsidRPr="004B47E6" w:rsidRDefault="00770423" w:rsidP="00531031">
      <w:pPr>
        <w:spacing w:line="360" w:lineRule="auto"/>
        <w:jc w:val="both"/>
        <w:rPr>
          <w:sz w:val="32"/>
          <w:szCs w:val="32"/>
          <w:lang w:val="en-GB"/>
        </w:rPr>
      </w:pPr>
      <w:r w:rsidRPr="004B47E6">
        <w:rPr>
          <w:sz w:val="32"/>
          <w:szCs w:val="32"/>
          <w:lang w:val="en-GB"/>
        </w:rPr>
        <w:t>DECISION OF THE PRESIDENT OF UOK</w:t>
      </w:r>
      <w:r w:rsidR="00732C67" w:rsidRPr="004B47E6">
        <w:rPr>
          <w:sz w:val="32"/>
          <w:szCs w:val="32"/>
          <w:lang w:val="en-GB"/>
        </w:rPr>
        <w:t>i</w:t>
      </w:r>
      <w:r w:rsidRPr="004B47E6">
        <w:rPr>
          <w:sz w:val="32"/>
          <w:szCs w:val="32"/>
          <w:lang w:val="en-GB"/>
        </w:rPr>
        <w:t>K CONCERNING COLLUSION ON WARSAW HEAT MARKET. FIRST PENALTY FOR MANAGER</w:t>
      </w:r>
    </w:p>
    <w:p w14:paraId="33C21B16" w14:textId="329E110B" w:rsidR="003A18F1" w:rsidRPr="004B47E6" w:rsidRDefault="007A02B2" w:rsidP="00DC6EE6">
      <w:pPr>
        <w:pStyle w:val="Akapitzlist"/>
        <w:numPr>
          <w:ilvl w:val="0"/>
          <w:numId w:val="8"/>
        </w:numPr>
        <w:spacing w:after="240" w:line="360" w:lineRule="auto"/>
        <w:jc w:val="both"/>
        <w:rPr>
          <w:b/>
          <w:sz w:val="22"/>
          <w:lang w:val="en-GB"/>
        </w:rPr>
      </w:pPr>
      <w:bookmarkStart w:id="0" w:name="_GoBack"/>
      <w:r w:rsidRPr="004B47E6">
        <w:rPr>
          <w:b/>
          <w:bCs/>
          <w:sz w:val="22"/>
          <w:lang w:val="en-GB"/>
        </w:rPr>
        <w:t>Market allocation, as well as price and tender fixing resulting in higher heat prices in Warsaw.</w:t>
      </w:r>
    </w:p>
    <w:p w14:paraId="5911FDB1" w14:textId="410F0421" w:rsidR="00F87BDA" w:rsidRPr="004B47E6" w:rsidRDefault="00735988" w:rsidP="00DC6EE6">
      <w:pPr>
        <w:pStyle w:val="Akapitzlist"/>
        <w:numPr>
          <w:ilvl w:val="0"/>
          <w:numId w:val="8"/>
        </w:numPr>
        <w:spacing w:after="240" w:line="360" w:lineRule="auto"/>
        <w:jc w:val="both"/>
        <w:rPr>
          <w:b/>
          <w:sz w:val="22"/>
          <w:lang w:val="en-GB"/>
        </w:rPr>
      </w:pPr>
      <w:r w:rsidRPr="004B47E6">
        <w:rPr>
          <w:b/>
          <w:bCs/>
          <w:sz w:val="22"/>
          <w:lang w:val="en-GB"/>
        </w:rPr>
        <w:t xml:space="preserve">Nearly PLN 120 million in penalties have been imposed by Tomasz Chróstny, the President of </w:t>
      </w:r>
      <w:proofErr w:type="spellStart"/>
      <w:r w:rsidRPr="004B47E6">
        <w:rPr>
          <w:b/>
          <w:bCs/>
          <w:sz w:val="22"/>
          <w:lang w:val="en-GB"/>
        </w:rPr>
        <w:t>UOKiK</w:t>
      </w:r>
      <w:proofErr w:type="spellEnd"/>
      <w:r w:rsidRPr="004B47E6">
        <w:rPr>
          <w:b/>
          <w:bCs/>
          <w:sz w:val="22"/>
          <w:lang w:val="en-GB"/>
        </w:rPr>
        <w:t xml:space="preserve">, on </w:t>
      </w:r>
      <w:r w:rsidR="006F59D9" w:rsidRPr="006F59D9">
        <w:rPr>
          <w:b/>
          <w:bCs/>
          <w:sz w:val="22"/>
          <w:lang w:val="en-GB"/>
        </w:rPr>
        <w:t xml:space="preserve">Veolia </w:t>
      </w:r>
      <w:proofErr w:type="spellStart"/>
      <w:r w:rsidR="006F59D9" w:rsidRPr="006F59D9">
        <w:rPr>
          <w:b/>
          <w:bCs/>
          <w:sz w:val="22"/>
          <w:lang w:val="en-GB"/>
        </w:rPr>
        <w:t>Polska</w:t>
      </w:r>
      <w:proofErr w:type="spellEnd"/>
      <w:r w:rsidRPr="004B47E6">
        <w:rPr>
          <w:b/>
          <w:bCs/>
          <w:sz w:val="22"/>
          <w:lang w:val="en-GB"/>
        </w:rPr>
        <w:t xml:space="preserve"> group companies for these practices. A manager who was directly responsible for violating applicable regulations has been penali</w:t>
      </w:r>
      <w:r w:rsidR="00826346">
        <w:rPr>
          <w:b/>
          <w:bCs/>
          <w:sz w:val="22"/>
          <w:lang w:val="en-GB"/>
        </w:rPr>
        <w:t>s</w:t>
      </w:r>
      <w:r w:rsidRPr="004B47E6">
        <w:rPr>
          <w:b/>
          <w:bCs/>
          <w:sz w:val="22"/>
          <w:lang w:val="en-GB"/>
        </w:rPr>
        <w:t xml:space="preserve">ed for the first time as well. </w:t>
      </w:r>
    </w:p>
    <w:p w14:paraId="28AD8C92" w14:textId="3F63C6C1" w:rsidR="00F678B1" w:rsidRPr="004B47E6" w:rsidRDefault="00A649EA" w:rsidP="00DC6EE6">
      <w:pPr>
        <w:pStyle w:val="Akapitzlist"/>
        <w:numPr>
          <w:ilvl w:val="0"/>
          <w:numId w:val="8"/>
        </w:numPr>
        <w:spacing w:after="240" w:line="360" w:lineRule="auto"/>
        <w:jc w:val="both"/>
        <w:rPr>
          <w:b/>
          <w:sz w:val="22"/>
          <w:lang w:val="en-GB"/>
        </w:rPr>
      </w:pPr>
      <w:r w:rsidRPr="004B47E6">
        <w:rPr>
          <w:b/>
          <w:bCs/>
          <w:sz w:val="22"/>
          <w:lang w:val="en-GB"/>
        </w:rPr>
        <w:t xml:space="preserve">The remaining participants of the collusion scheme, i.e. </w:t>
      </w:r>
      <w:proofErr w:type="spellStart"/>
      <w:r w:rsidR="006F59D9" w:rsidRPr="006F59D9">
        <w:rPr>
          <w:b/>
          <w:bCs/>
          <w:sz w:val="22"/>
          <w:lang w:val="en-GB"/>
        </w:rPr>
        <w:t>PGNiG</w:t>
      </w:r>
      <w:proofErr w:type="spellEnd"/>
      <w:r w:rsidRPr="004B47E6">
        <w:rPr>
          <w:b/>
          <w:bCs/>
          <w:sz w:val="22"/>
          <w:lang w:val="en-GB"/>
        </w:rPr>
        <w:t xml:space="preserve"> group companies, have avoided a penalty by taking part in the leniency programme, informing about the collusion and providing significant evidence to support the case.</w:t>
      </w:r>
    </w:p>
    <w:p w14:paraId="4D5A27F0" w14:textId="0E222E6F" w:rsidR="001244F3" w:rsidRPr="004B47E6" w:rsidRDefault="0010559C" w:rsidP="00DC6EE6">
      <w:pPr>
        <w:spacing w:after="240" w:line="360" w:lineRule="auto"/>
        <w:jc w:val="both"/>
        <w:rPr>
          <w:color w:val="000000"/>
          <w:sz w:val="22"/>
          <w:lang w:val="en-GB"/>
        </w:rPr>
      </w:pPr>
      <w:r w:rsidRPr="004B47E6">
        <w:rPr>
          <w:b/>
          <w:bCs/>
          <w:sz w:val="22"/>
          <w:lang w:val="en-GB"/>
        </w:rPr>
        <w:t xml:space="preserve">[Warsaw, 7 December 2020] </w:t>
      </w:r>
      <w:r w:rsidRPr="004B47E6">
        <w:rPr>
          <w:sz w:val="22"/>
          <w:lang w:val="en-GB"/>
        </w:rPr>
        <w:t>Warsaw’s heating system is the largest of its kin</w:t>
      </w:r>
      <w:r w:rsidR="00732C67" w:rsidRPr="004B47E6">
        <w:rPr>
          <w:sz w:val="22"/>
          <w:lang w:val="en-GB"/>
        </w:rPr>
        <w:t>d</w:t>
      </w:r>
      <w:r w:rsidRPr="004B47E6">
        <w:rPr>
          <w:sz w:val="22"/>
          <w:lang w:val="en-GB"/>
        </w:rPr>
        <w:t xml:space="preserve"> in all of European Union. The key players include the following entities: </w:t>
      </w:r>
      <w:proofErr w:type="spellStart"/>
      <w:r w:rsidR="006F59D9" w:rsidRPr="006F59D9">
        <w:rPr>
          <w:sz w:val="22"/>
          <w:lang w:val="en-GB"/>
        </w:rPr>
        <w:t>PGNiG</w:t>
      </w:r>
      <w:proofErr w:type="spellEnd"/>
      <w:r w:rsidR="006F59D9" w:rsidRPr="006F59D9">
        <w:rPr>
          <w:sz w:val="22"/>
          <w:lang w:val="en-GB"/>
        </w:rPr>
        <w:t xml:space="preserve"> </w:t>
      </w:r>
      <w:proofErr w:type="spellStart"/>
      <w:r w:rsidR="006F59D9" w:rsidRPr="006F59D9">
        <w:rPr>
          <w:sz w:val="22"/>
          <w:lang w:val="en-GB"/>
        </w:rPr>
        <w:t>Termika</w:t>
      </w:r>
      <w:proofErr w:type="spellEnd"/>
      <w:r w:rsidR="006F59D9">
        <w:rPr>
          <w:sz w:val="22"/>
          <w:lang w:val="en-GB"/>
        </w:rPr>
        <w:t xml:space="preserve"> </w:t>
      </w:r>
      <w:r w:rsidRPr="004B47E6">
        <w:rPr>
          <w:sz w:val="22"/>
          <w:lang w:val="en-GB"/>
        </w:rPr>
        <w:t xml:space="preserve">– as far as generation of heat is concerned, and </w:t>
      </w:r>
      <w:r w:rsidR="006F59D9" w:rsidRPr="002C16A2">
        <w:rPr>
          <w:sz w:val="22"/>
          <w:lang w:val="en-GB"/>
        </w:rPr>
        <w:t xml:space="preserve">Veolia </w:t>
      </w:r>
      <w:proofErr w:type="spellStart"/>
      <w:r w:rsidR="006F59D9" w:rsidRPr="002C16A2">
        <w:rPr>
          <w:sz w:val="22"/>
          <w:lang w:val="en-GB"/>
        </w:rPr>
        <w:t>Energia</w:t>
      </w:r>
      <w:proofErr w:type="spellEnd"/>
      <w:r w:rsidR="006F59D9" w:rsidRPr="002C16A2">
        <w:rPr>
          <w:sz w:val="22"/>
          <w:lang w:val="en-GB"/>
        </w:rPr>
        <w:t xml:space="preserve"> Warszawa</w:t>
      </w:r>
      <w:r w:rsidRPr="004B47E6">
        <w:rPr>
          <w:sz w:val="22"/>
          <w:lang w:val="en-GB"/>
        </w:rPr>
        <w:t xml:space="preserve"> - in terms of distributing heat and selling it to end-users, such as </w:t>
      </w:r>
      <w:r w:rsidRPr="004B47E6">
        <w:rPr>
          <w:color w:val="000000"/>
          <w:sz w:val="22"/>
          <w:lang w:val="en-GB"/>
        </w:rPr>
        <w:t>housing co-operatives, homeowner associations, businesses, schools and offices.</w:t>
      </w:r>
    </w:p>
    <w:p w14:paraId="1A2E6B50" w14:textId="68FD62E6" w:rsidR="00DD03B4" w:rsidRPr="004B47E6" w:rsidRDefault="00DD03B4" w:rsidP="00DC6EE6">
      <w:pPr>
        <w:spacing w:after="240" w:line="360" w:lineRule="auto"/>
        <w:jc w:val="both"/>
        <w:rPr>
          <w:b/>
          <w:bCs/>
          <w:color w:val="000000"/>
          <w:sz w:val="22"/>
          <w:lang w:val="en-GB"/>
        </w:rPr>
      </w:pPr>
      <w:r w:rsidRPr="004B47E6">
        <w:rPr>
          <w:b/>
          <w:bCs/>
          <w:color w:val="000000"/>
          <w:sz w:val="22"/>
          <w:lang w:val="en-GB"/>
        </w:rPr>
        <w:t>What did the collusion consist in?</w:t>
      </w:r>
    </w:p>
    <w:p w14:paraId="6F0F8404" w14:textId="081A02FC" w:rsidR="00B1384B" w:rsidRPr="004B47E6" w:rsidRDefault="00242701" w:rsidP="00DC6EE6">
      <w:pPr>
        <w:spacing w:after="240" w:line="360" w:lineRule="auto"/>
        <w:jc w:val="both"/>
        <w:rPr>
          <w:color w:val="000000"/>
          <w:sz w:val="22"/>
          <w:lang w:val="en-GB"/>
        </w:rPr>
      </w:pPr>
      <w:r w:rsidRPr="004B47E6">
        <w:rPr>
          <w:color w:val="000000"/>
          <w:sz w:val="22"/>
          <w:lang w:val="en-GB"/>
        </w:rPr>
        <w:t xml:space="preserve">According to information gathered by UOKiK, the entrepreneurs concerned concluded a competition-restricting agreement that was in effect from 2014 to 2017. However, the beginnings of their unlawful cooperation date back to 2012-2013. It was then that </w:t>
      </w:r>
      <w:r w:rsidR="006F59D9" w:rsidRPr="006F59D9">
        <w:rPr>
          <w:color w:val="000000"/>
          <w:sz w:val="22"/>
          <w:lang w:val="en-GB"/>
        </w:rPr>
        <w:t>Veolia</w:t>
      </w:r>
      <w:r w:rsidR="006F59D9">
        <w:rPr>
          <w:color w:val="000000"/>
          <w:sz w:val="22"/>
          <w:highlight w:val="yellow"/>
          <w:lang w:val="en-GB"/>
        </w:rPr>
        <w:t xml:space="preserve"> </w:t>
      </w:r>
      <w:r w:rsidRPr="004B47E6">
        <w:rPr>
          <w:color w:val="000000"/>
          <w:sz w:val="22"/>
          <w:lang w:val="en-GB"/>
        </w:rPr>
        <w:t xml:space="preserve">announced its intentions to erect a combined heat and power plant in Warsaw, and </w:t>
      </w:r>
      <w:proofErr w:type="spellStart"/>
      <w:r w:rsidR="006F59D9" w:rsidRPr="002C16A2">
        <w:rPr>
          <w:color w:val="000000"/>
          <w:sz w:val="22"/>
          <w:lang w:val="en-GB"/>
        </w:rPr>
        <w:t>PGNiG</w:t>
      </w:r>
      <w:proofErr w:type="spellEnd"/>
      <w:r w:rsidR="006F59D9" w:rsidRPr="002C16A2">
        <w:rPr>
          <w:color w:val="000000"/>
          <w:sz w:val="22"/>
          <w:lang w:val="en-GB"/>
        </w:rPr>
        <w:t xml:space="preserve"> </w:t>
      </w:r>
      <w:proofErr w:type="spellStart"/>
      <w:r w:rsidR="006F59D9" w:rsidRPr="002C16A2">
        <w:rPr>
          <w:color w:val="000000"/>
          <w:sz w:val="22"/>
          <w:lang w:val="en-GB"/>
        </w:rPr>
        <w:t>Termika</w:t>
      </w:r>
      <w:proofErr w:type="spellEnd"/>
      <w:r w:rsidRPr="004B47E6">
        <w:rPr>
          <w:color w:val="000000"/>
          <w:sz w:val="22"/>
          <w:lang w:val="en-GB"/>
        </w:rPr>
        <w:t xml:space="preserve"> </w:t>
      </w:r>
      <w:r w:rsidRPr="004B47E6">
        <w:rPr>
          <w:sz w:val="22"/>
          <w:lang w:val="en-GB"/>
        </w:rPr>
        <w:t xml:space="preserve">started to operate proactively on the heat market, taking over individual customers of </w:t>
      </w:r>
      <w:r w:rsidR="006F59D9" w:rsidRPr="006F59D9">
        <w:rPr>
          <w:sz w:val="22"/>
          <w:lang w:val="en-GB"/>
        </w:rPr>
        <w:t>Veolia.</w:t>
      </w:r>
      <w:r w:rsidRPr="004B47E6">
        <w:rPr>
          <w:color w:val="000000"/>
          <w:sz w:val="22"/>
          <w:lang w:val="en-GB"/>
        </w:rPr>
        <w:t xml:space="preserve"> </w:t>
      </w:r>
    </w:p>
    <w:p w14:paraId="64C55331" w14:textId="368FFD41" w:rsidR="00090048" w:rsidRPr="004B47E6" w:rsidRDefault="00B1384B" w:rsidP="00DC6EE6">
      <w:pPr>
        <w:spacing w:after="240" w:line="360" w:lineRule="auto"/>
        <w:jc w:val="both"/>
        <w:rPr>
          <w:color w:val="000000"/>
          <w:sz w:val="22"/>
          <w:lang w:val="en-GB"/>
        </w:rPr>
      </w:pPr>
      <w:r w:rsidRPr="004B47E6">
        <w:rPr>
          <w:color w:val="000000"/>
          <w:sz w:val="22"/>
          <w:lang w:val="en-GB"/>
        </w:rPr>
        <w:t xml:space="preserve">- </w:t>
      </w:r>
      <w:r w:rsidRPr="004B47E6">
        <w:rPr>
          <w:i/>
          <w:iCs/>
          <w:color w:val="000000"/>
          <w:sz w:val="22"/>
          <w:lang w:val="en-GB"/>
        </w:rPr>
        <w:t xml:space="preserve">The operators decided they would keep out of each other’s way and allocated the market between them. </w:t>
      </w:r>
      <w:proofErr w:type="spellStart"/>
      <w:r w:rsidR="006F59D9" w:rsidRPr="002C16A2">
        <w:rPr>
          <w:i/>
          <w:iCs/>
          <w:color w:val="000000"/>
          <w:sz w:val="22"/>
          <w:lang w:val="en-GB"/>
        </w:rPr>
        <w:t>PGNiG</w:t>
      </w:r>
      <w:proofErr w:type="spellEnd"/>
      <w:r w:rsidR="006F59D9" w:rsidRPr="002C16A2">
        <w:rPr>
          <w:i/>
          <w:iCs/>
          <w:color w:val="000000"/>
          <w:sz w:val="22"/>
          <w:lang w:val="en-GB"/>
        </w:rPr>
        <w:t xml:space="preserve"> </w:t>
      </w:r>
      <w:proofErr w:type="spellStart"/>
      <w:r w:rsidR="006F59D9" w:rsidRPr="002C16A2">
        <w:rPr>
          <w:i/>
          <w:iCs/>
          <w:color w:val="000000"/>
          <w:sz w:val="22"/>
          <w:lang w:val="en-GB"/>
        </w:rPr>
        <w:t>Termika</w:t>
      </w:r>
      <w:proofErr w:type="spellEnd"/>
      <w:r w:rsidRPr="004B47E6">
        <w:rPr>
          <w:i/>
          <w:iCs/>
          <w:color w:val="000000"/>
          <w:sz w:val="22"/>
          <w:lang w:val="en-GB"/>
        </w:rPr>
        <w:t xml:space="preserve"> focused on generating heat, while </w:t>
      </w:r>
      <w:r w:rsidR="006F59D9" w:rsidRPr="002C16A2">
        <w:rPr>
          <w:i/>
          <w:iCs/>
          <w:color w:val="000000"/>
          <w:sz w:val="22"/>
          <w:lang w:val="en-GB"/>
        </w:rPr>
        <w:t xml:space="preserve">Veolia </w:t>
      </w:r>
      <w:proofErr w:type="spellStart"/>
      <w:r w:rsidR="006F59D9" w:rsidRPr="002C16A2">
        <w:rPr>
          <w:i/>
          <w:iCs/>
          <w:color w:val="000000"/>
          <w:sz w:val="22"/>
          <w:lang w:val="en-GB"/>
        </w:rPr>
        <w:t>Energia</w:t>
      </w:r>
      <w:proofErr w:type="spellEnd"/>
      <w:r w:rsidR="006F59D9" w:rsidRPr="002C16A2">
        <w:rPr>
          <w:i/>
          <w:iCs/>
          <w:color w:val="000000"/>
          <w:sz w:val="22"/>
          <w:lang w:val="en-GB"/>
        </w:rPr>
        <w:t xml:space="preserve"> Warszawa</w:t>
      </w:r>
      <w:r w:rsidRPr="004B47E6">
        <w:rPr>
          <w:i/>
          <w:iCs/>
          <w:color w:val="000000"/>
          <w:sz w:val="22"/>
          <w:lang w:val="en-GB"/>
        </w:rPr>
        <w:t xml:space="preserve"> concentrated on selling it. Both companies were also aligning their tendering and pricing strategies - </w:t>
      </w:r>
      <w:r w:rsidRPr="004B47E6">
        <w:rPr>
          <w:color w:val="000000"/>
          <w:sz w:val="22"/>
          <w:lang w:val="en-GB"/>
        </w:rPr>
        <w:t>says Tomasz Chróstny, President of UOKiK.</w:t>
      </w:r>
    </w:p>
    <w:p w14:paraId="2A168818" w14:textId="538218F4" w:rsidR="00F35168" w:rsidRPr="004B47E6" w:rsidRDefault="001E5637" w:rsidP="00DE53DE">
      <w:pPr>
        <w:pStyle w:val="PKTABC"/>
        <w:numPr>
          <w:ilvl w:val="0"/>
          <w:numId w:val="0"/>
        </w:numPr>
        <w:spacing w:before="0" w:after="240"/>
        <w:ind w:left="-113"/>
        <w:rPr>
          <w:rFonts w:ascii="Trebuchet MS" w:hAnsi="Trebuchet MS"/>
          <w:color w:val="000000"/>
          <w:szCs w:val="22"/>
          <w:lang w:val="en-GB"/>
        </w:rPr>
      </w:pPr>
      <w:r w:rsidRPr="004B47E6">
        <w:rPr>
          <w:rFonts w:ascii="Trebuchet MS" w:hAnsi="Trebuchet MS"/>
          <w:color w:val="000000"/>
          <w:szCs w:val="22"/>
          <w:lang w:val="en-GB"/>
        </w:rPr>
        <w:t xml:space="preserve">In line with the arrangements made, </w:t>
      </w:r>
      <w:r w:rsidR="006F59D9" w:rsidRPr="002C16A2">
        <w:rPr>
          <w:rFonts w:ascii="Trebuchet MS" w:hAnsi="Trebuchet MS"/>
          <w:color w:val="000000"/>
          <w:szCs w:val="22"/>
          <w:lang w:val="en-GB"/>
        </w:rPr>
        <w:t>Veolia</w:t>
      </w:r>
      <w:r w:rsidRPr="004B47E6">
        <w:rPr>
          <w:rFonts w:ascii="Trebuchet MS" w:hAnsi="Trebuchet MS"/>
          <w:color w:val="000000"/>
          <w:szCs w:val="22"/>
          <w:lang w:val="en-GB"/>
        </w:rPr>
        <w:t xml:space="preserve"> gave up its intention to erect a combined heat and power plant in Warsaw. In exchange for that, </w:t>
      </w:r>
      <w:proofErr w:type="spellStart"/>
      <w:r w:rsidR="006F59D9" w:rsidRPr="002C16A2">
        <w:rPr>
          <w:rFonts w:ascii="Trebuchet MS" w:hAnsi="Trebuchet MS"/>
          <w:color w:val="000000"/>
          <w:szCs w:val="22"/>
          <w:lang w:val="en-GB"/>
        </w:rPr>
        <w:t>PGNiG</w:t>
      </w:r>
      <w:proofErr w:type="spellEnd"/>
      <w:r w:rsidR="006F59D9" w:rsidRPr="002C16A2">
        <w:rPr>
          <w:rFonts w:ascii="Trebuchet MS" w:hAnsi="Trebuchet MS"/>
          <w:color w:val="000000"/>
          <w:szCs w:val="22"/>
          <w:lang w:val="en-GB"/>
        </w:rPr>
        <w:t xml:space="preserve"> </w:t>
      </w:r>
      <w:proofErr w:type="spellStart"/>
      <w:r w:rsidR="006F59D9" w:rsidRPr="002C16A2">
        <w:rPr>
          <w:rFonts w:ascii="Trebuchet MS" w:hAnsi="Trebuchet MS"/>
          <w:color w:val="000000"/>
          <w:szCs w:val="22"/>
          <w:lang w:val="en-GB"/>
        </w:rPr>
        <w:t>Termika</w:t>
      </w:r>
      <w:proofErr w:type="spellEnd"/>
      <w:r w:rsidRPr="004B47E6">
        <w:rPr>
          <w:rFonts w:ascii="Trebuchet MS" w:hAnsi="Trebuchet MS"/>
          <w:color w:val="000000"/>
          <w:szCs w:val="22"/>
          <w:lang w:val="en-GB"/>
        </w:rPr>
        <w:t xml:space="preserve"> undertook to </w:t>
      </w:r>
      <w:r w:rsidRPr="004B47E6">
        <w:rPr>
          <w:rFonts w:ascii="Trebuchet MS" w:hAnsi="Trebuchet MS"/>
          <w:szCs w:val="22"/>
          <w:lang w:val="en-GB"/>
        </w:rPr>
        <w:t xml:space="preserve">discontinue </w:t>
      </w:r>
      <w:r w:rsidRPr="004B47E6">
        <w:rPr>
          <w:rFonts w:ascii="Trebuchet MS" w:hAnsi="Trebuchet MS"/>
          <w:szCs w:val="22"/>
          <w:lang w:val="en-GB"/>
        </w:rPr>
        <w:lastRenderedPageBreak/>
        <w:t xml:space="preserve">selling heat to end users. </w:t>
      </w:r>
      <w:r w:rsidRPr="004B47E6">
        <w:rPr>
          <w:rFonts w:ascii="Trebuchet MS" w:hAnsi="Trebuchet MS"/>
          <w:color w:val="000000"/>
          <w:szCs w:val="22"/>
          <w:lang w:val="en-GB"/>
        </w:rPr>
        <w:t xml:space="preserve">The companies decided also that </w:t>
      </w:r>
      <w:proofErr w:type="spellStart"/>
      <w:r w:rsidR="006F59D9" w:rsidRPr="002C16A2">
        <w:rPr>
          <w:rFonts w:ascii="Trebuchet MS" w:hAnsi="Trebuchet MS"/>
          <w:szCs w:val="22"/>
          <w:lang w:val="en-GB"/>
        </w:rPr>
        <w:t>PGNiG</w:t>
      </w:r>
      <w:proofErr w:type="spellEnd"/>
      <w:r w:rsidR="006F59D9" w:rsidRPr="002C16A2">
        <w:rPr>
          <w:rFonts w:ascii="Trebuchet MS" w:hAnsi="Trebuchet MS"/>
          <w:szCs w:val="22"/>
          <w:lang w:val="en-GB"/>
        </w:rPr>
        <w:t xml:space="preserve"> </w:t>
      </w:r>
      <w:proofErr w:type="spellStart"/>
      <w:r w:rsidR="006F59D9" w:rsidRPr="002C16A2">
        <w:rPr>
          <w:rFonts w:ascii="Trebuchet MS" w:hAnsi="Trebuchet MS"/>
          <w:szCs w:val="22"/>
          <w:lang w:val="en-GB"/>
        </w:rPr>
        <w:t>Termika</w:t>
      </w:r>
      <w:proofErr w:type="spellEnd"/>
      <w:r w:rsidRPr="004B47E6">
        <w:rPr>
          <w:rFonts w:ascii="Trebuchet MS" w:hAnsi="Trebuchet MS"/>
          <w:szCs w:val="22"/>
          <w:lang w:val="en-GB"/>
        </w:rPr>
        <w:t xml:space="preserve"> would not participate in tenders concerned with supplying heat. Furthermore, the entrepreneurs were jointly determining the structure of tariffs for end customers. </w:t>
      </w:r>
      <w:r w:rsidRPr="004B47E6">
        <w:rPr>
          <w:rFonts w:ascii="Trebuchet MS" w:hAnsi="Trebuchet MS"/>
          <w:color w:val="000000"/>
          <w:szCs w:val="22"/>
          <w:lang w:val="en-GB"/>
        </w:rPr>
        <w:t>Lack of competition was beneficial for both companies, as they no longer had to fear losing their strong position on the market on which they played a dominant role.</w:t>
      </w:r>
    </w:p>
    <w:p w14:paraId="177C4107" w14:textId="697B7A6E" w:rsidR="00EF0310" w:rsidRPr="004B47E6" w:rsidRDefault="00EF0310" w:rsidP="00EF0310">
      <w:pPr>
        <w:spacing w:after="240" w:line="360" w:lineRule="auto"/>
        <w:jc w:val="both"/>
        <w:rPr>
          <w:sz w:val="22"/>
          <w:lang w:val="en-GB"/>
        </w:rPr>
      </w:pPr>
      <w:r w:rsidRPr="004B47E6">
        <w:rPr>
          <w:color w:val="000000"/>
          <w:sz w:val="22"/>
          <w:lang w:val="en-GB"/>
        </w:rPr>
        <w:t xml:space="preserve">- </w:t>
      </w:r>
      <w:r w:rsidRPr="004B47E6">
        <w:rPr>
          <w:i/>
          <w:iCs/>
          <w:color w:val="000000"/>
          <w:sz w:val="22"/>
          <w:lang w:val="en-GB"/>
        </w:rPr>
        <w:t xml:space="preserve">As a result of the arrangements made, end users were forced to pay more for heat than they would on a competitive market. The customers included not only representatives of the business sector or institutions, but also housing co-operatives and homeowner associations. This means that as a result of the collusion, residents of Warsaw were paying excessive rates for heating their homes </w:t>
      </w:r>
      <w:r w:rsidRPr="004B47E6">
        <w:rPr>
          <w:color w:val="000000"/>
          <w:sz w:val="22"/>
          <w:lang w:val="en-GB"/>
        </w:rPr>
        <w:t>– adds Tomasz Chróstny, President of UOKiK.</w:t>
      </w:r>
    </w:p>
    <w:p w14:paraId="30E2B5DE" w14:textId="2BF6F5E3" w:rsidR="00F739D0" w:rsidRPr="004B47E6" w:rsidRDefault="00F739D0" w:rsidP="00DC6EE6">
      <w:pPr>
        <w:spacing w:after="240" w:line="360" w:lineRule="auto"/>
        <w:jc w:val="both"/>
        <w:rPr>
          <w:color w:val="000000"/>
          <w:sz w:val="22"/>
          <w:lang w:val="en-GB"/>
        </w:rPr>
      </w:pPr>
      <w:r w:rsidRPr="004B47E6">
        <w:rPr>
          <w:color w:val="000000"/>
          <w:sz w:val="22"/>
          <w:lang w:val="en-GB"/>
        </w:rPr>
        <w:t xml:space="preserve">Although all direct arrangements were reached between </w:t>
      </w:r>
      <w:proofErr w:type="spellStart"/>
      <w:r w:rsidR="006B060B" w:rsidRPr="002C16A2">
        <w:rPr>
          <w:color w:val="000000"/>
          <w:sz w:val="22"/>
          <w:lang w:val="en-GB"/>
        </w:rPr>
        <w:t>PGNiG</w:t>
      </w:r>
      <w:proofErr w:type="spellEnd"/>
      <w:r w:rsidR="006B060B" w:rsidRPr="002C16A2">
        <w:rPr>
          <w:color w:val="000000"/>
          <w:sz w:val="22"/>
          <w:lang w:val="en-GB"/>
        </w:rPr>
        <w:t xml:space="preserve"> </w:t>
      </w:r>
      <w:proofErr w:type="spellStart"/>
      <w:r w:rsidR="006B060B" w:rsidRPr="002C16A2">
        <w:rPr>
          <w:color w:val="000000"/>
          <w:sz w:val="22"/>
          <w:lang w:val="en-GB"/>
        </w:rPr>
        <w:t>Termika</w:t>
      </w:r>
      <w:proofErr w:type="spellEnd"/>
      <w:r w:rsidRPr="004B47E6">
        <w:rPr>
          <w:color w:val="000000"/>
          <w:sz w:val="22"/>
          <w:lang w:val="en-GB"/>
        </w:rPr>
        <w:t xml:space="preserve"> and </w:t>
      </w:r>
      <w:r w:rsidR="006B060B" w:rsidRPr="002C16A2">
        <w:rPr>
          <w:color w:val="000000"/>
          <w:sz w:val="22"/>
          <w:lang w:val="en-GB"/>
        </w:rPr>
        <w:t xml:space="preserve">Veolia </w:t>
      </w:r>
      <w:proofErr w:type="spellStart"/>
      <w:r w:rsidR="006B060B" w:rsidRPr="002C16A2">
        <w:rPr>
          <w:color w:val="000000"/>
          <w:sz w:val="22"/>
          <w:lang w:val="en-GB"/>
        </w:rPr>
        <w:t>Energia</w:t>
      </w:r>
      <w:proofErr w:type="spellEnd"/>
      <w:r w:rsidR="006B060B" w:rsidRPr="002C16A2">
        <w:rPr>
          <w:color w:val="000000"/>
          <w:sz w:val="22"/>
          <w:lang w:val="en-GB"/>
        </w:rPr>
        <w:t xml:space="preserve"> Warszawa</w:t>
      </w:r>
      <w:r w:rsidRPr="004B47E6">
        <w:rPr>
          <w:color w:val="000000"/>
          <w:sz w:val="22"/>
          <w:lang w:val="en-GB"/>
        </w:rPr>
        <w:t xml:space="preserve">, the mother companies of both economic operators, i.e. </w:t>
      </w:r>
      <w:proofErr w:type="spellStart"/>
      <w:r w:rsidR="006B060B" w:rsidRPr="002C16A2">
        <w:rPr>
          <w:color w:val="000000"/>
          <w:sz w:val="22"/>
          <w:lang w:val="en-GB"/>
        </w:rPr>
        <w:t>PGNiG</w:t>
      </w:r>
      <w:proofErr w:type="spellEnd"/>
      <w:r w:rsidRPr="004B47E6">
        <w:rPr>
          <w:color w:val="000000"/>
          <w:sz w:val="22"/>
          <w:lang w:val="en-GB"/>
        </w:rPr>
        <w:t xml:space="preserve"> and </w:t>
      </w:r>
      <w:r w:rsidR="006B060B" w:rsidRPr="002C16A2">
        <w:rPr>
          <w:color w:val="000000"/>
          <w:sz w:val="22"/>
          <w:lang w:val="en-GB"/>
        </w:rPr>
        <w:t xml:space="preserve">Veolia </w:t>
      </w:r>
      <w:proofErr w:type="spellStart"/>
      <w:r w:rsidR="006B060B" w:rsidRPr="002C16A2">
        <w:rPr>
          <w:color w:val="000000"/>
          <w:sz w:val="22"/>
          <w:lang w:val="en-GB"/>
        </w:rPr>
        <w:t>Energia</w:t>
      </w:r>
      <w:proofErr w:type="spellEnd"/>
      <w:r w:rsidR="006B060B" w:rsidRPr="002C16A2">
        <w:rPr>
          <w:color w:val="000000"/>
          <w:sz w:val="22"/>
          <w:lang w:val="en-GB"/>
        </w:rPr>
        <w:t xml:space="preserve"> </w:t>
      </w:r>
      <w:proofErr w:type="spellStart"/>
      <w:r w:rsidR="006B060B" w:rsidRPr="002C16A2">
        <w:rPr>
          <w:color w:val="000000"/>
          <w:sz w:val="22"/>
          <w:lang w:val="en-GB"/>
        </w:rPr>
        <w:t>Polska</w:t>
      </w:r>
      <w:proofErr w:type="spellEnd"/>
      <w:r w:rsidRPr="004B47E6">
        <w:rPr>
          <w:color w:val="000000"/>
          <w:sz w:val="22"/>
          <w:lang w:val="en-GB"/>
        </w:rPr>
        <w:t xml:space="preserve">, participated in the collusion as well. They were the ones that initiated the agreement, were aware of the ensuing illegal arrangements and approved of these. </w:t>
      </w:r>
    </w:p>
    <w:p w14:paraId="3E8DBBDC" w14:textId="220BB387" w:rsidR="00794C61" w:rsidRPr="004B47E6" w:rsidRDefault="00794C61" w:rsidP="00DC6EE6">
      <w:pPr>
        <w:spacing w:after="240" w:line="360" w:lineRule="auto"/>
        <w:jc w:val="both"/>
        <w:rPr>
          <w:b/>
          <w:bCs/>
          <w:color w:val="000000"/>
          <w:sz w:val="22"/>
          <w:lang w:val="en-GB"/>
        </w:rPr>
      </w:pPr>
      <w:r w:rsidRPr="004B47E6">
        <w:rPr>
          <w:b/>
          <w:bCs/>
          <w:color w:val="000000"/>
          <w:sz w:val="22"/>
          <w:lang w:val="en-GB"/>
        </w:rPr>
        <w:t xml:space="preserve">Penalties for managers - the first decision of this type </w:t>
      </w:r>
    </w:p>
    <w:p w14:paraId="5A44AE71" w14:textId="2741FD01" w:rsidR="00A5540E" w:rsidRPr="004B47E6" w:rsidRDefault="003C1585" w:rsidP="006A434F">
      <w:pPr>
        <w:pStyle w:val="TekstNB"/>
        <w:spacing w:before="0" w:after="240"/>
        <w:rPr>
          <w:rFonts w:ascii="Trebuchet MS" w:hAnsi="Trebuchet MS"/>
          <w:b/>
          <w:szCs w:val="22"/>
          <w:lang w:val="en-GB"/>
        </w:rPr>
      </w:pPr>
      <w:r w:rsidRPr="004B47E6">
        <w:rPr>
          <w:rFonts w:ascii="Trebuchet MS" w:hAnsi="Trebuchet MS"/>
          <w:szCs w:val="22"/>
          <w:lang w:val="en-GB"/>
        </w:rPr>
        <w:t xml:space="preserve">For the first time in the history of UOKiK, financial penalties have also been imposed on employees managing the companies and being in charge of the illegal arrangements. The ability to implement such penalties was first introduced to the Polish law in 2015. The President of the Authority decided that the then-President of the Management Board of </w:t>
      </w:r>
      <w:r w:rsidR="002C16A2" w:rsidRPr="002C16A2">
        <w:rPr>
          <w:rFonts w:ascii="Trebuchet MS" w:hAnsi="Trebuchet MS"/>
          <w:bCs/>
          <w:szCs w:val="22"/>
          <w:lang w:val="en-GB"/>
        </w:rPr>
        <w:t xml:space="preserve">Veolia </w:t>
      </w:r>
      <w:proofErr w:type="spellStart"/>
      <w:r w:rsidR="002C16A2" w:rsidRPr="002C16A2">
        <w:rPr>
          <w:rFonts w:ascii="Trebuchet MS" w:hAnsi="Trebuchet MS"/>
          <w:bCs/>
          <w:szCs w:val="22"/>
          <w:lang w:val="en-GB"/>
        </w:rPr>
        <w:t>Energia</w:t>
      </w:r>
      <w:proofErr w:type="spellEnd"/>
      <w:r w:rsidR="002C16A2" w:rsidRPr="002C16A2">
        <w:rPr>
          <w:rFonts w:ascii="Trebuchet MS" w:hAnsi="Trebuchet MS"/>
          <w:bCs/>
          <w:szCs w:val="22"/>
          <w:lang w:val="en-GB"/>
        </w:rPr>
        <w:t xml:space="preserve"> Warszawa</w:t>
      </w:r>
      <w:r w:rsidRPr="004B47E6">
        <w:rPr>
          <w:rFonts w:ascii="Trebuchet MS" w:hAnsi="Trebuchet MS"/>
          <w:szCs w:val="22"/>
          <w:lang w:val="en-GB"/>
        </w:rPr>
        <w:t>, and his counterpart at</w:t>
      </w:r>
      <w:r w:rsidR="002C16A2">
        <w:rPr>
          <w:rFonts w:ascii="Trebuchet MS" w:hAnsi="Trebuchet MS"/>
          <w:bCs/>
          <w:szCs w:val="22"/>
          <w:lang w:val="en-GB"/>
        </w:rPr>
        <w:t xml:space="preserve"> </w:t>
      </w:r>
      <w:proofErr w:type="spellStart"/>
      <w:r w:rsidR="002C16A2" w:rsidRPr="002C16A2">
        <w:rPr>
          <w:rFonts w:ascii="Trebuchet MS" w:hAnsi="Trebuchet MS"/>
          <w:bCs/>
          <w:szCs w:val="22"/>
          <w:lang w:val="en-GB"/>
        </w:rPr>
        <w:t>PGNiG</w:t>
      </w:r>
      <w:proofErr w:type="spellEnd"/>
      <w:r w:rsidR="002C16A2" w:rsidRPr="002C16A2">
        <w:rPr>
          <w:rFonts w:ascii="Trebuchet MS" w:hAnsi="Trebuchet MS"/>
          <w:bCs/>
          <w:szCs w:val="22"/>
          <w:lang w:val="en-GB"/>
        </w:rPr>
        <w:t xml:space="preserve"> </w:t>
      </w:r>
      <w:proofErr w:type="spellStart"/>
      <w:r w:rsidR="002C16A2" w:rsidRPr="002C16A2">
        <w:rPr>
          <w:rFonts w:ascii="Trebuchet MS" w:hAnsi="Trebuchet MS"/>
          <w:bCs/>
          <w:szCs w:val="22"/>
          <w:lang w:val="en-GB"/>
        </w:rPr>
        <w:t>Termika</w:t>
      </w:r>
      <w:proofErr w:type="spellEnd"/>
      <w:r w:rsidRPr="004B47E6">
        <w:rPr>
          <w:rFonts w:ascii="Trebuchet MS" w:hAnsi="Trebuchet MS"/>
          <w:szCs w:val="22"/>
          <w:lang w:val="en-GB"/>
        </w:rPr>
        <w:t>, intentionally restricted market competition, inter alia by actively participating in arrangements concerning the scope and the implementation of illegal practices.</w:t>
      </w:r>
    </w:p>
    <w:p w14:paraId="47E69CC7" w14:textId="39A0A895" w:rsidR="00794C61" w:rsidRPr="004B47E6" w:rsidRDefault="00794C61" w:rsidP="00DC6EE6">
      <w:pPr>
        <w:pStyle w:val="TekstNB"/>
        <w:spacing w:before="0" w:after="240"/>
        <w:rPr>
          <w:rFonts w:ascii="Trebuchet MS" w:hAnsi="Trebuchet MS"/>
          <w:b/>
          <w:szCs w:val="22"/>
          <w:lang w:val="en-GB"/>
        </w:rPr>
      </w:pPr>
      <w:r w:rsidRPr="004B47E6">
        <w:rPr>
          <w:rFonts w:ascii="Trebuchet MS" w:hAnsi="Trebuchet MS"/>
          <w:b/>
          <w:bCs/>
          <w:szCs w:val="22"/>
          <w:lang w:val="en-GB"/>
        </w:rPr>
        <w:t>PLN 500 million saved by cooperating with UOKiK</w:t>
      </w:r>
    </w:p>
    <w:p w14:paraId="45668F1B" w14:textId="09E0F9C9" w:rsidR="0057285A" w:rsidRPr="004B47E6" w:rsidRDefault="0057285A" w:rsidP="00DC6EE6">
      <w:pPr>
        <w:pStyle w:val="TekstNB"/>
        <w:spacing w:before="0" w:after="240"/>
        <w:rPr>
          <w:rFonts w:ascii="Trebuchet MS" w:hAnsi="Trebuchet MS"/>
          <w:szCs w:val="22"/>
          <w:lang w:val="en-GB"/>
        </w:rPr>
      </w:pPr>
      <w:r w:rsidRPr="004B47E6">
        <w:rPr>
          <w:rFonts w:ascii="Trebuchet MS" w:hAnsi="Trebuchet MS"/>
          <w:szCs w:val="22"/>
          <w:lang w:val="en-GB"/>
        </w:rPr>
        <w:t xml:space="preserve">- </w:t>
      </w:r>
      <w:r w:rsidRPr="004B47E6">
        <w:rPr>
          <w:rFonts w:ascii="Trebuchet MS" w:hAnsi="Trebuchet MS"/>
          <w:i/>
          <w:iCs/>
          <w:szCs w:val="22"/>
          <w:lang w:val="en-GB"/>
        </w:rPr>
        <w:t xml:space="preserve">The proceedings were initiated by </w:t>
      </w:r>
      <w:proofErr w:type="spellStart"/>
      <w:r w:rsidR="006B060B" w:rsidRPr="002C16A2">
        <w:rPr>
          <w:rFonts w:ascii="Trebuchet MS" w:hAnsi="Trebuchet MS"/>
          <w:i/>
          <w:iCs/>
          <w:szCs w:val="22"/>
          <w:lang w:val="en-GB"/>
        </w:rPr>
        <w:t>PGNiG</w:t>
      </w:r>
      <w:proofErr w:type="spellEnd"/>
      <w:r w:rsidR="006B060B" w:rsidRPr="002C16A2">
        <w:rPr>
          <w:rFonts w:ascii="Trebuchet MS" w:hAnsi="Trebuchet MS"/>
          <w:i/>
          <w:iCs/>
          <w:szCs w:val="22"/>
          <w:lang w:val="en-GB"/>
        </w:rPr>
        <w:t xml:space="preserve"> </w:t>
      </w:r>
      <w:proofErr w:type="spellStart"/>
      <w:r w:rsidR="006B060B" w:rsidRPr="002C16A2">
        <w:rPr>
          <w:rFonts w:ascii="Trebuchet MS" w:hAnsi="Trebuchet MS"/>
          <w:i/>
          <w:iCs/>
          <w:szCs w:val="22"/>
          <w:lang w:val="en-GB"/>
        </w:rPr>
        <w:t>Termika</w:t>
      </w:r>
      <w:proofErr w:type="spellEnd"/>
      <w:r w:rsidRPr="004B47E6">
        <w:rPr>
          <w:rFonts w:ascii="Trebuchet MS" w:hAnsi="Trebuchet MS"/>
          <w:i/>
          <w:iCs/>
          <w:szCs w:val="22"/>
          <w:lang w:val="en-GB"/>
        </w:rPr>
        <w:t xml:space="preserve">, as it decided to take advantage of the leniency programme and reported the collusion scheme to UOKiK, presenting details of the arrangements made. With </w:t>
      </w:r>
      <w:r w:rsidR="007D5754">
        <w:rPr>
          <w:rFonts w:ascii="Trebuchet MS" w:hAnsi="Trebuchet MS"/>
          <w:i/>
          <w:iCs/>
          <w:szCs w:val="22"/>
          <w:lang w:val="en-GB"/>
        </w:rPr>
        <w:t>the</w:t>
      </w:r>
      <w:r w:rsidRPr="004B47E6">
        <w:rPr>
          <w:rFonts w:ascii="Trebuchet MS" w:hAnsi="Trebuchet MS"/>
          <w:i/>
          <w:iCs/>
          <w:szCs w:val="22"/>
          <w:lang w:val="en-GB"/>
        </w:rPr>
        <w:t xml:space="preserve"> evidential value of the materials submitted and the full-scale cooperation with the Authority taken into consideration, I decided to waive the imposition of the monetary penalty on </w:t>
      </w:r>
      <w:proofErr w:type="spellStart"/>
      <w:r w:rsidR="006B060B" w:rsidRPr="002C16A2">
        <w:rPr>
          <w:rFonts w:ascii="Trebuchet MS" w:hAnsi="Trebuchet MS"/>
          <w:i/>
          <w:iCs/>
          <w:szCs w:val="22"/>
          <w:lang w:val="en-GB"/>
        </w:rPr>
        <w:t>PGNiG</w:t>
      </w:r>
      <w:proofErr w:type="spellEnd"/>
      <w:r w:rsidRPr="004B47E6">
        <w:rPr>
          <w:rFonts w:ascii="Trebuchet MS" w:hAnsi="Trebuchet MS"/>
          <w:i/>
          <w:iCs/>
          <w:szCs w:val="22"/>
          <w:lang w:val="en-GB"/>
        </w:rPr>
        <w:t xml:space="preserve"> group companies and on their manager, in compliance </w:t>
      </w:r>
      <w:r w:rsidRPr="004B47E6">
        <w:rPr>
          <w:rFonts w:ascii="Trebuchet MS" w:hAnsi="Trebuchet MS"/>
          <w:i/>
          <w:iCs/>
          <w:szCs w:val="22"/>
          <w:lang w:val="en-GB"/>
        </w:rPr>
        <w:lastRenderedPageBreak/>
        <w:t xml:space="preserve">with the idea behind the leniency programme. This allowed the whistle-blowers to avoid nearly PLN 500 million in penalties - </w:t>
      </w:r>
      <w:r w:rsidRPr="004B47E6">
        <w:rPr>
          <w:rFonts w:ascii="Trebuchet MS" w:hAnsi="Trebuchet MS"/>
          <w:szCs w:val="22"/>
          <w:lang w:val="en-GB"/>
        </w:rPr>
        <w:t>concludes Tomasz Chróstny, President of UOKiK.</w:t>
      </w:r>
    </w:p>
    <w:p w14:paraId="2F3197B6" w14:textId="2DC32A0C" w:rsidR="006E5ED2" w:rsidRPr="004B47E6" w:rsidRDefault="006B060B" w:rsidP="00DB74FC">
      <w:pPr>
        <w:pStyle w:val="TekstNB2"/>
        <w:rPr>
          <w:lang w:val="en-GB"/>
        </w:rPr>
      </w:pPr>
      <w:proofErr w:type="spellStart"/>
      <w:r w:rsidRPr="002C16A2">
        <w:rPr>
          <w:lang w:val="en-GB"/>
        </w:rPr>
        <w:t>PGNiG</w:t>
      </w:r>
      <w:proofErr w:type="spellEnd"/>
      <w:r w:rsidRPr="002C16A2">
        <w:rPr>
          <w:lang w:val="en-GB"/>
        </w:rPr>
        <w:t xml:space="preserve"> </w:t>
      </w:r>
      <w:proofErr w:type="spellStart"/>
      <w:r w:rsidRPr="002C16A2">
        <w:rPr>
          <w:lang w:val="en-GB"/>
        </w:rPr>
        <w:t>Termika</w:t>
      </w:r>
      <w:proofErr w:type="spellEnd"/>
      <w:r w:rsidR="00CA5918" w:rsidRPr="004B47E6">
        <w:rPr>
          <w:lang w:val="en-GB"/>
        </w:rPr>
        <w:t xml:space="preserve"> submitted crucial evidence proving existence of the collusion. The evidence comprised, inter alia, e-mail correspondence. The information obtained served as a basis for conducting a search at the seat of </w:t>
      </w:r>
      <w:r w:rsidR="006D5A0C" w:rsidRPr="002C16A2">
        <w:rPr>
          <w:lang w:val="en-GB"/>
        </w:rPr>
        <w:t xml:space="preserve">Veolia </w:t>
      </w:r>
      <w:proofErr w:type="spellStart"/>
      <w:r w:rsidR="006D5A0C" w:rsidRPr="002C16A2">
        <w:rPr>
          <w:lang w:val="en-GB"/>
        </w:rPr>
        <w:t>Energia</w:t>
      </w:r>
      <w:proofErr w:type="spellEnd"/>
      <w:r w:rsidR="006D5A0C" w:rsidRPr="002C16A2">
        <w:rPr>
          <w:lang w:val="en-GB"/>
        </w:rPr>
        <w:t xml:space="preserve"> Warszawa</w:t>
      </w:r>
      <w:r w:rsidR="00CA5918" w:rsidRPr="004B47E6">
        <w:rPr>
          <w:lang w:val="en-GB"/>
        </w:rPr>
        <w:t xml:space="preserve">, during which further evidence was obtained. In the course of the procedure, </w:t>
      </w:r>
      <w:proofErr w:type="spellStart"/>
      <w:r w:rsidR="006D5A0C" w:rsidRPr="002C16A2">
        <w:rPr>
          <w:lang w:val="en-GB"/>
        </w:rPr>
        <w:t>PGNiG</w:t>
      </w:r>
      <w:proofErr w:type="spellEnd"/>
      <w:r w:rsidR="006D5A0C" w:rsidRPr="002C16A2">
        <w:rPr>
          <w:lang w:val="en-GB"/>
        </w:rPr>
        <w:t xml:space="preserve"> </w:t>
      </w:r>
      <w:proofErr w:type="spellStart"/>
      <w:r w:rsidR="006D5A0C" w:rsidRPr="002C16A2">
        <w:rPr>
          <w:lang w:val="en-GB"/>
        </w:rPr>
        <w:t>Termika</w:t>
      </w:r>
      <w:proofErr w:type="spellEnd"/>
      <w:r w:rsidR="00CA5918" w:rsidRPr="004B47E6">
        <w:rPr>
          <w:lang w:val="en-GB"/>
        </w:rPr>
        <w:t xml:space="preserve"> continued to submit other important pieces of information, both upon request and on its own accord. The application submitted by </w:t>
      </w:r>
      <w:proofErr w:type="spellStart"/>
      <w:r w:rsidR="006D5A0C" w:rsidRPr="002C16A2">
        <w:rPr>
          <w:lang w:val="en-GB"/>
        </w:rPr>
        <w:t>PGNiG</w:t>
      </w:r>
      <w:proofErr w:type="spellEnd"/>
      <w:r w:rsidR="006D5A0C" w:rsidRPr="002C16A2">
        <w:rPr>
          <w:lang w:val="en-GB"/>
        </w:rPr>
        <w:t xml:space="preserve"> </w:t>
      </w:r>
      <w:proofErr w:type="spellStart"/>
      <w:r w:rsidR="006D5A0C" w:rsidRPr="002C16A2">
        <w:rPr>
          <w:lang w:val="en-GB"/>
        </w:rPr>
        <w:t>Termika</w:t>
      </w:r>
      <w:proofErr w:type="spellEnd"/>
      <w:r w:rsidR="006D5A0C" w:rsidRPr="004B47E6">
        <w:rPr>
          <w:lang w:val="en-GB"/>
        </w:rPr>
        <w:t xml:space="preserve"> </w:t>
      </w:r>
      <w:r w:rsidR="00CA5918" w:rsidRPr="004B47E6">
        <w:rPr>
          <w:lang w:val="en-GB"/>
        </w:rPr>
        <w:t xml:space="preserve">covered also </w:t>
      </w:r>
      <w:proofErr w:type="spellStart"/>
      <w:r w:rsidR="006D5A0C" w:rsidRPr="006D5A0C">
        <w:rPr>
          <w:lang w:val="en-GB"/>
        </w:rPr>
        <w:t>PGNiG</w:t>
      </w:r>
      <w:proofErr w:type="spellEnd"/>
      <w:r w:rsidR="00CA5918" w:rsidRPr="004B47E6">
        <w:rPr>
          <w:lang w:val="en-GB"/>
        </w:rPr>
        <w:t xml:space="preserve"> and its President of the Management Board between 2014 and 2016. Without the submission of the said application and their cooperation with UOKiK, the entities would face penalties of over PLN 486 million. </w:t>
      </w:r>
      <w:r w:rsidR="00CA5918" w:rsidRPr="004B47E6">
        <w:rPr>
          <w:lang w:val="en-GB"/>
        </w:rPr>
        <w:tab/>
        <w:t xml:space="preserve"> </w:t>
      </w:r>
    </w:p>
    <w:p w14:paraId="34A8239E" w14:textId="599BB7E5" w:rsidR="00216C99" w:rsidRPr="004B47E6" w:rsidRDefault="00216C99" w:rsidP="00DB74FC">
      <w:pPr>
        <w:pStyle w:val="TekstNB2"/>
        <w:rPr>
          <w:lang w:val="en-GB"/>
        </w:rPr>
      </w:pPr>
      <w:r w:rsidRPr="004B47E6">
        <w:rPr>
          <w:lang w:val="en-GB"/>
        </w:rPr>
        <w:t xml:space="preserve">The President of UOKiK imposed, on the other side to the collusion scheme, penalties of </w:t>
      </w:r>
      <w:r w:rsidR="007B43D9">
        <w:rPr>
          <w:lang w:val="en-GB"/>
        </w:rPr>
        <w:t>nearly</w:t>
      </w:r>
      <w:r w:rsidRPr="004B47E6">
        <w:rPr>
          <w:lang w:val="en-GB"/>
        </w:rPr>
        <w:t xml:space="preserve"> PLN 120 million, including:</w:t>
      </w:r>
    </w:p>
    <w:p w14:paraId="0112638A" w14:textId="5EC3DD7B" w:rsidR="007A44A7" w:rsidRPr="004B47E6" w:rsidRDefault="007A44A7" w:rsidP="001C580C">
      <w:pPr>
        <w:pStyle w:val="Wezwanie1"/>
        <w:numPr>
          <w:ilvl w:val="0"/>
          <w:numId w:val="14"/>
        </w:numPr>
        <w:spacing w:before="0" w:after="240"/>
        <w:ind w:left="700"/>
        <w:rPr>
          <w:rFonts w:ascii="Trebuchet MS" w:hAnsi="Trebuchet MS"/>
          <w:i/>
          <w:iCs/>
          <w:szCs w:val="22"/>
          <w:lang w:val="en-GB"/>
        </w:rPr>
      </w:pPr>
      <w:r w:rsidRPr="004B47E6">
        <w:rPr>
          <w:rFonts w:ascii="Trebuchet MS" w:hAnsi="Trebuchet MS"/>
          <w:szCs w:val="22"/>
          <w:lang w:val="en-GB"/>
        </w:rPr>
        <w:t xml:space="preserve">PLN 92,208,077.56 imposed on </w:t>
      </w:r>
      <w:proofErr w:type="spellStart"/>
      <w:r w:rsidR="006D5A0C" w:rsidRPr="00DC6EE6">
        <w:rPr>
          <w:rFonts w:ascii="Trebuchet MS" w:hAnsi="Trebuchet MS"/>
          <w:szCs w:val="22"/>
        </w:rPr>
        <w:t>Veolia</w:t>
      </w:r>
      <w:proofErr w:type="spellEnd"/>
      <w:r w:rsidR="006D5A0C" w:rsidRPr="00DC6EE6">
        <w:rPr>
          <w:rFonts w:ascii="Trebuchet MS" w:hAnsi="Trebuchet MS"/>
          <w:szCs w:val="22"/>
        </w:rPr>
        <w:t xml:space="preserve"> Energia Warszawa</w:t>
      </w:r>
      <w:r w:rsidRPr="004B47E6">
        <w:rPr>
          <w:rFonts w:ascii="Trebuchet MS" w:hAnsi="Trebuchet MS"/>
          <w:szCs w:val="22"/>
          <w:lang w:val="en-GB"/>
        </w:rPr>
        <w:t>,</w:t>
      </w:r>
    </w:p>
    <w:p w14:paraId="515DB36D" w14:textId="404567EE" w:rsidR="00300BC5" w:rsidRPr="004B47E6" w:rsidRDefault="007A44A7" w:rsidP="00DB74FC">
      <w:pPr>
        <w:pStyle w:val="TekstNB2"/>
        <w:numPr>
          <w:ilvl w:val="0"/>
          <w:numId w:val="14"/>
        </w:numPr>
        <w:rPr>
          <w:lang w:val="en-GB"/>
        </w:rPr>
      </w:pPr>
      <w:r w:rsidRPr="004B47E6">
        <w:rPr>
          <w:lang w:val="en-GB"/>
        </w:rPr>
        <w:t xml:space="preserve">PLN 27,546,221.35 imposed on </w:t>
      </w:r>
      <w:r w:rsidR="006D5A0C" w:rsidRPr="002C16A2">
        <w:rPr>
          <w:lang w:val="en-GB"/>
        </w:rPr>
        <w:t xml:space="preserve">Veolia </w:t>
      </w:r>
      <w:proofErr w:type="spellStart"/>
      <w:r w:rsidR="006D5A0C" w:rsidRPr="002C16A2">
        <w:rPr>
          <w:lang w:val="en-GB"/>
        </w:rPr>
        <w:t>Energia</w:t>
      </w:r>
      <w:proofErr w:type="spellEnd"/>
      <w:r w:rsidR="006D5A0C" w:rsidRPr="002C16A2">
        <w:rPr>
          <w:lang w:val="en-GB"/>
        </w:rPr>
        <w:t xml:space="preserve"> </w:t>
      </w:r>
      <w:proofErr w:type="spellStart"/>
      <w:r w:rsidR="006D5A0C" w:rsidRPr="002C16A2">
        <w:rPr>
          <w:lang w:val="en-GB"/>
        </w:rPr>
        <w:t>Polska</w:t>
      </w:r>
      <w:proofErr w:type="spellEnd"/>
      <w:r w:rsidRPr="004B47E6">
        <w:rPr>
          <w:lang w:val="en-GB"/>
        </w:rPr>
        <w:t>,</w:t>
      </w:r>
    </w:p>
    <w:p w14:paraId="632DB407" w14:textId="2F65AC6F" w:rsidR="00BE1886" w:rsidRPr="004B47E6" w:rsidRDefault="00BE1886" w:rsidP="00DB74FC">
      <w:pPr>
        <w:pStyle w:val="TekstNB2"/>
        <w:numPr>
          <w:ilvl w:val="0"/>
          <w:numId w:val="14"/>
        </w:numPr>
        <w:rPr>
          <w:lang w:val="en-GB"/>
        </w:rPr>
      </w:pPr>
      <w:r w:rsidRPr="004B47E6">
        <w:rPr>
          <w:lang w:val="en-GB"/>
        </w:rPr>
        <w:t xml:space="preserve">PLN 200,000 imposed on </w:t>
      </w:r>
      <w:r w:rsidR="006D5A0C" w:rsidRPr="002C16A2">
        <w:rPr>
          <w:lang w:val="en-GB"/>
        </w:rPr>
        <w:t>Jacky Lacombe</w:t>
      </w:r>
      <w:r w:rsidRPr="004B47E6">
        <w:rPr>
          <w:lang w:val="en-GB"/>
        </w:rPr>
        <w:t xml:space="preserve"> holding the position of the President of the Management Board of </w:t>
      </w:r>
      <w:r w:rsidR="006D5A0C" w:rsidRPr="002C16A2">
        <w:rPr>
          <w:lang w:val="en-GB"/>
        </w:rPr>
        <w:t xml:space="preserve">Veolia </w:t>
      </w:r>
      <w:proofErr w:type="spellStart"/>
      <w:r w:rsidR="006D5A0C" w:rsidRPr="002C16A2">
        <w:rPr>
          <w:lang w:val="en-GB"/>
        </w:rPr>
        <w:t>Energia</w:t>
      </w:r>
      <w:proofErr w:type="spellEnd"/>
      <w:r w:rsidR="006D5A0C" w:rsidRPr="002C16A2">
        <w:rPr>
          <w:lang w:val="en-GB"/>
        </w:rPr>
        <w:t xml:space="preserve"> Warszawa</w:t>
      </w:r>
      <w:r w:rsidRPr="004B47E6">
        <w:rPr>
          <w:lang w:val="en-GB"/>
        </w:rPr>
        <w:t xml:space="preserve"> when the collusion scheme was in effect.</w:t>
      </w:r>
    </w:p>
    <w:p w14:paraId="5E446221" w14:textId="456C9287" w:rsidR="00D3238C" w:rsidRPr="004B47E6" w:rsidRDefault="00D3238C" w:rsidP="00DB74FC">
      <w:pPr>
        <w:pStyle w:val="TekstNB2"/>
        <w:rPr>
          <w:lang w:val="en-GB"/>
        </w:rPr>
      </w:pPr>
      <w:r w:rsidRPr="004B47E6">
        <w:rPr>
          <w:lang w:val="en-GB"/>
        </w:rPr>
        <w:t xml:space="preserve">The decision is not final and may be appealed against to court. </w:t>
      </w:r>
    </w:p>
    <w:p w14:paraId="697623A1" w14:textId="77777777" w:rsidR="009F120D" w:rsidRPr="004B47E6" w:rsidRDefault="009F120D" w:rsidP="009F120D">
      <w:pPr>
        <w:pStyle w:val="TekstNB2"/>
        <w:rPr>
          <w:b/>
          <w:bCs/>
          <w:lang w:val="en-GB"/>
        </w:rPr>
      </w:pPr>
      <w:r w:rsidRPr="004B47E6">
        <w:rPr>
          <w:b/>
          <w:bCs/>
          <w:lang w:val="en-GB"/>
        </w:rPr>
        <w:t>Would you like to avoid a penalty? Are you aware of a collusion scheme? Contact the Office of Competition and Consumer Protection</w:t>
      </w:r>
    </w:p>
    <w:p w14:paraId="7441B752" w14:textId="5962A75B" w:rsidR="009F120D" w:rsidRPr="004B47E6" w:rsidRDefault="009F120D" w:rsidP="009F120D">
      <w:pPr>
        <w:pStyle w:val="TekstNB"/>
        <w:spacing w:before="0" w:after="240"/>
        <w:rPr>
          <w:rFonts w:ascii="Trebuchet MS" w:hAnsi="Trebuchet MS"/>
          <w:szCs w:val="22"/>
          <w:lang w:val="en-GB"/>
        </w:rPr>
      </w:pPr>
      <w:r w:rsidRPr="004B47E6">
        <w:rPr>
          <w:rFonts w:ascii="Trebuchet MS" w:hAnsi="Trebuchet MS"/>
          <w:szCs w:val="22"/>
          <w:lang w:val="en-GB"/>
        </w:rPr>
        <w:t xml:space="preserve">We encourage entrepreneurs and managers interested in taking advantage of the leniency programme to contact UOKiK. By calling a dedicated number of 22 55 60 555, you will be able to talk to UOKiK lawyers, who will answer all of your questions related to </w:t>
      </w:r>
      <w:r w:rsidRPr="004B47E6">
        <w:rPr>
          <w:rStyle w:val="NagwekZnak"/>
          <w:sz w:val="22"/>
          <w:szCs w:val="22"/>
          <w:lang w:val="en-GB"/>
        </w:rPr>
        <w:t>leniency</w:t>
      </w:r>
      <w:r w:rsidRPr="004B47E6">
        <w:rPr>
          <w:rFonts w:ascii="Trebuchet MS" w:hAnsi="Trebuchet MS"/>
          <w:szCs w:val="22"/>
          <w:lang w:val="en-GB"/>
        </w:rPr>
        <w:t xml:space="preserve"> applications - also those asked anonymously.</w:t>
      </w:r>
    </w:p>
    <w:p w14:paraId="1822AAD8" w14:textId="565295A7" w:rsidR="009F120D" w:rsidRPr="004B47E6" w:rsidRDefault="009F120D" w:rsidP="009F120D">
      <w:pPr>
        <w:spacing w:after="240" w:line="360" w:lineRule="auto"/>
        <w:jc w:val="both"/>
        <w:rPr>
          <w:sz w:val="22"/>
          <w:lang w:val="en-GB"/>
        </w:rPr>
      </w:pPr>
      <w:r w:rsidRPr="004B47E6">
        <w:rPr>
          <w:sz w:val="22"/>
          <w:lang w:val="en-GB"/>
        </w:rPr>
        <w:t xml:space="preserve">The Authority offers a programme allowing it to acquire information from anonymous whistle-blowers. Visit </w:t>
      </w:r>
      <w:hyperlink r:id="rId8" w:history="1">
        <w:r w:rsidRPr="004B47E6">
          <w:rPr>
            <w:color w:val="0000FF"/>
            <w:sz w:val="22"/>
            <w:u w:val="single"/>
            <w:lang w:val="en-GB"/>
          </w:rPr>
          <w:t>https://konkurencja.uokik.gov.pl/sygnalista/</w:t>
        </w:r>
      </w:hyperlink>
      <w:r w:rsidRPr="004B47E6">
        <w:rPr>
          <w:sz w:val="22"/>
          <w:lang w:val="en-GB"/>
        </w:rPr>
        <w:t xml:space="preserve"> and fill out a simple </w:t>
      </w:r>
      <w:r w:rsidRPr="004B47E6">
        <w:rPr>
          <w:sz w:val="22"/>
          <w:lang w:val="en-GB"/>
        </w:rPr>
        <w:lastRenderedPageBreak/>
        <w:t>form. The pan-European system we rely on guarantees full anonymity, also towards the Authority’s staff.</w:t>
      </w:r>
    </w:p>
    <w:p w14:paraId="0500E33C" w14:textId="0E1AED27" w:rsidR="009F120D" w:rsidRPr="004B47E6" w:rsidRDefault="009F120D" w:rsidP="009F120D">
      <w:pPr>
        <w:spacing w:after="240" w:line="360" w:lineRule="auto"/>
        <w:jc w:val="both"/>
        <w:rPr>
          <w:b/>
          <w:bCs/>
          <w:sz w:val="22"/>
          <w:lang w:val="en-GB"/>
        </w:rPr>
      </w:pPr>
      <w:r w:rsidRPr="004B47E6">
        <w:rPr>
          <w:b/>
          <w:bCs/>
          <w:sz w:val="22"/>
          <w:lang w:val="en-GB"/>
        </w:rPr>
        <w:t>The President of the Authority would also like to remind the public that anyone who has suffered a loss as a result of a breach of competition law may file a civil lawsuit against any of the entities that have violated the law.</w:t>
      </w:r>
      <w:r w:rsidR="004B47E6" w:rsidRPr="004B47E6">
        <w:rPr>
          <w:b/>
          <w:bCs/>
          <w:sz w:val="22"/>
          <w:lang w:val="en-GB"/>
        </w:rPr>
        <w:t xml:space="preserve"> </w:t>
      </w:r>
      <w:r w:rsidRPr="004B47E6">
        <w:rPr>
          <w:sz w:val="22"/>
          <w:lang w:val="en-GB"/>
        </w:rPr>
        <w:t xml:space="preserve">When filing a claim, it is necessary to indicate the amount of compensation sought. In determining the amount due, consideration should be given to the counterfactual scenario, i.e. what the market situation would have been like in the absence of the infringement. As a rule, the loss shall be the excess price paid as a result of the anti-competitive practices. The following may be helpful in quantifying the loss: </w:t>
      </w:r>
      <w:hyperlink r:id="rId9" w:history="1">
        <w:r w:rsidRPr="004B47E6">
          <w:rPr>
            <w:rStyle w:val="Hipercze"/>
            <w:sz w:val="22"/>
            <w:lang w:val="en-GB"/>
          </w:rPr>
          <w:t>Communication</w:t>
        </w:r>
      </w:hyperlink>
      <w:r w:rsidRPr="004B47E6">
        <w:rPr>
          <w:sz w:val="22"/>
          <w:lang w:val="en-GB"/>
        </w:rPr>
        <w:t xml:space="preserve"> and </w:t>
      </w:r>
      <w:hyperlink r:id="rId10" w:history="1">
        <w:r w:rsidRPr="004B47E6">
          <w:rPr>
            <w:rStyle w:val="Hipercze"/>
            <w:sz w:val="22"/>
            <w:lang w:val="en-GB"/>
          </w:rPr>
          <w:t>Practical Guide</w:t>
        </w:r>
      </w:hyperlink>
      <w:r w:rsidRPr="004B47E6">
        <w:rPr>
          <w:sz w:val="22"/>
          <w:lang w:val="en-GB"/>
        </w:rPr>
        <w:t xml:space="preserve"> on quantifying harm in actions for damages based on breaches of Article 101 or 102 of the Treaty on the Functioning of the European Union, issued by the European Commission.</w:t>
      </w:r>
    </w:p>
    <w:bookmarkEnd w:id="0"/>
    <w:p w14:paraId="6A6295EB" w14:textId="7575ACEC" w:rsidR="00770423" w:rsidRPr="004B47E6" w:rsidRDefault="00770423" w:rsidP="00DC6EE6">
      <w:pPr>
        <w:pStyle w:val="TekstNB"/>
        <w:spacing w:before="0" w:after="240"/>
        <w:rPr>
          <w:rFonts w:ascii="Trebuchet MS" w:hAnsi="Trebuchet MS"/>
          <w:szCs w:val="22"/>
          <w:lang w:val="en-GB"/>
        </w:rPr>
      </w:pPr>
    </w:p>
    <w:p w14:paraId="3E77E2A1" w14:textId="183E0EEF" w:rsidR="009A23B6" w:rsidRPr="004B47E6" w:rsidRDefault="009A23B6" w:rsidP="009A23B6">
      <w:pPr>
        <w:rPr>
          <w:sz w:val="22"/>
          <w:lang w:val="en-GB"/>
        </w:rPr>
      </w:pPr>
    </w:p>
    <w:p w14:paraId="1FCFB580" w14:textId="7E72BEB2" w:rsidR="009A23B6" w:rsidRPr="004B47E6" w:rsidRDefault="009A23B6" w:rsidP="009A23B6">
      <w:pPr>
        <w:tabs>
          <w:tab w:val="left" w:pos="2880"/>
        </w:tabs>
        <w:rPr>
          <w:lang w:val="en-GB"/>
        </w:rPr>
      </w:pPr>
      <w:r w:rsidRPr="004B47E6">
        <w:rPr>
          <w:lang w:val="en-GB"/>
        </w:rPr>
        <w:tab/>
      </w:r>
    </w:p>
    <w:sectPr w:rsidR="009A23B6" w:rsidRPr="004B47E6" w:rsidSect="00240013">
      <w:headerReference w:type="default" r:id="rId11"/>
      <w:footerReference w:type="default" r:id="rId12"/>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F8DEB" w14:textId="77777777" w:rsidR="00D66D49" w:rsidRDefault="00D66D49">
      <w:r>
        <w:separator/>
      </w:r>
    </w:p>
  </w:endnote>
  <w:endnote w:type="continuationSeparator" w:id="0">
    <w:p w14:paraId="3790A917" w14:textId="77777777" w:rsidR="00D66D49" w:rsidRDefault="00D6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5E531" w14:textId="77777777" w:rsidR="0059016B" w:rsidRPr="00924ABC" w:rsidRDefault="00D66D49" w:rsidP="008D527A">
    <w:pPr>
      <w:pStyle w:val="Stopka"/>
      <w:rPr>
        <w:rFonts w:ascii="Segoe UI Semibold" w:hAnsi="Segoe UI Semibold" w:cs="Segoe UI Semibold"/>
        <w:color w:val="595959" w:themeColor="text1" w:themeTint="A6"/>
        <w:sz w:val="16"/>
        <w:szCs w:val="16"/>
      </w:rPr>
    </w:pPr>
    <w:r>
      <w:rPr>
        <w:rFonts w:ascii="Segoe UI Semibold" w:hAnsi="Segoe UI Semibold"/>
        <w:noProof/>
        <w:lang w:val="en"/>
      </w:rPr>
      <w:pict w14:anchorId="60813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8.65pt;margin-top:-13.35pt;width:54.75pt;height:54.75pt;z-index:-251657216;mso-position-horizontal-relative:text;mso-position-vertical-relative:text;mso-width-relative:page;mso-height-relative:page">
          <v:imagedata r:id="rId1" o:title="fotolia_64043943"/>
        </v:shape>
      </w:pict>
    </w:r>
    <w:r w:rsidR="00CB47E6">
      <w:rPr>
        <w:rFonts w:ascii="Segoe UI Semibold" w:hAnsi="Segoe UI Semibold"/>
        <w:noProof/>
        <w:color w:val="595959" w:themeColor="text1" w:themeTint="A6"/>
        <w:sz w:val="16"/>
        <w:szCs w:val="16"/>
        <w:lang w:val="en"/>
      </w:rPr>
      <mc:AlternateContent>
        <mc:Choice Requires="wps">
          <w:drawing>
            <wp:anchor distT="45720" distB="45720" distL="114300" distR="114300" simplePos="0" relativeHeight="251658240" behindDoc="1" locked="0" layoutInCell="1" allowOverlap="1" wp14:anchorId="57590D21" wp14:editId="0E599491">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2D083E53"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7590D21"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2D083E53"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v:textbox>
              <w10:wrap anchorx="margin"/>
            </v:shape>
          </w:pict>
        </mc:Fallback>
      </mc:AlternateContent>
    </w:r>
    <w:r w:rsidR="00CB47E6">
      <w:rPr>
        <w:rFonts w:ascii="Segoe UI Semibold" w:hAnsi="Segoe UI Semibold"/>
        <w:noProof/>
        <w:color w:val="595959" w:themeColor="text1" w:themeTint="A6"/>
        <w:lang w:val="en"/>
      </w:rPr>
      <mc:AlternateContent>
        <mc:Choice Requires="wps">
          <w:drawing>
            <wp:anchor distT="0" distB="0" distL="114300" distR="114300" simplePos="0" relativeHeight="251657216" behindDoc="0" locked="0" layoutInCell="1" allowOverlap="1" wp14:anchorId="1DA52F88" wp14:editId="651D385D">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B3FB2ED"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CB47E6">
      <w:rPr>
        <w:rFonts w:ascii="Segoe UI Semibold" w:hAnsi="Segoe UI Semibold"/>
        <w:color w:val="595959" w:themeColor="text1" w:themeTint="A6"/>
        <w:sz w:val="16"/>
        <w:szCs w:val="16"/>
        <w:lang w:val="en"/>
      </w:rPr>
      <w:t>WWW.UOKiK.GOV.PL   PHONE: +48 22 55 60 246    MOBILE: +48 695 902 088</w:t>
    </w:r>
  </w:p>
  <w:p w14:paraId="3A6678F8" w14:textId="77777777" w:rsidR="0059016B" w:rsidRPr="00A53423" w:rsidRDefault="00746549"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lang w:val="en"/>
      </w:rPr>
      <w:t xml:space="preserve">UOKiK Communication Department, Pl. Powstańców Warszawy 1, 00-950 Warsaw </w:t>
    </w:r>
    <w:r>
      <w:rPr>
        <w:rFonts w:ascii="Segoe UI Semibold" w:hAnsi="Segoe UI Semibold" w:cs="Segoe UI Semibold"/>
        <w:color w:val="595959" w:themeColor="text1" w:themeTint="A6"/>
        <w:sz w:val="16"/>
        <w:szCs w:val="16"/>
        <w:lang w:val="en"/>
      </w:rPr>
      <w:b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s="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r w:rsidRPr="00EA1181">
        <w:rPr>
          <w:rStyle w:val="u-linkcomplex-target"/>
          <w:rFonts w:ascii="Segoe UI Semibold" w:hAnsi="Segoe UI Semibold" w:cs="Segoe UI Semibold"/>
          <w:color w:val="595959" w:themeColor="text1" w:themeTint="A6"/>
          <w:sz w:val="16"/>
          <w:szCs w:val="16"/>
          <w:u w:val="single"/>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FFDD" w14:textId="77777777" w:rsidR="00D66D49" w:rsidRDefault="00D66D49">
      <w:r>
        <w:separator/>
      </w:r>
    </w:p>
  </w:footnote>
  <w:footnote w:type="continuationSeparator" w:id="0">
    <w:p w14:paraId="71B0BCB4" w14:textId="77777777" w:rsidR="00D66D49" w:rsidRDefault="00D6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4D36" w14:textId="77777777" w:rsidR="0059016B" w:rsidRDefault="00D66D49" w:rsidP="0041396E">
    <w:pPr>
      <w:pStyle w:val="Nagwek"/>
      <w:tabs>
        <w:tab w:val="clear" w:pos="9072"/>
      </w:tabs>
    </w:pPr>
    <w:r>
      <w:rPr>
        <w:noProof/>
        <w:lang w:val="en"/>
      </w:rPr>
      <w:pict w14:anchorId="31673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pt;margin-top:-17.25pt;width:285.65pt;height:69.5pt;z-index:251661312;mso-position-horizontal-relative:text;mso-position-vertical-relative:text;mso-width-relative:page;mso-height-relative:page">
          <v:imagedata r:id="rId1" o:title="stopka 30-leci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D5AC26C"/>
    <w:lvl w:ilvl="0">
      <w:start w:val="1"/>
      <w:numFmt w:val="lowerLetter"/>
      <w:pStyle w:val="PKTABC"/>
      <w:lvlText w:val="%1)"/>
      <w:lvlJc w:val="left"/>
      <w:pPr>
        <w:tabs>
          <w:tab w:val="num" w:pos="926"/>
        </w:tabs>
        <w:ind w:left="926" w:hanging="360"/>
      </w:pPr>
      <w:rPr>
        <w:rFonts w:ascii="Times New Roman" w:eastAsia="Times New Roman" w:hAnsi="Times New Roman" w:cs="Times New Roman"/>
      </w:rPr>
    </w:lvl>
  </w:abstractNum>
  <w:abstractNum w:abstractNumId="1" w15:restartNumberingAfterBreak="0">
    <w:nsid w:val="0F056366"/>
    <w:multiLevelType w:val="hybridMultilevel"/>
    <w:tmpl w:val="4EAEFC36"/>
    <w:lvl w:ilvl="0" w:tplc="D04234E4">
      <w:start w:val="1"/>
      <w:numFmt w:val="upperRoman"/>
      <w:pStyle w:val="Wezwanie1"/>
      <w:lvlText w:val="%1."/>
      <w:lvlJc w:val="right"/>
      <w:pPr>
        <w:ind w:left="284" w:hanging="284"/>
      </w:pPr>
      <w:rPr>
        <w:rFonts w:cs="Times New Roman" w:hint="default"/>
        <w:b/>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75EA5"/>
    <w:multiLevelType w:val="hybridMultilevel"/>
    <w:tmpl w:val="4DFC372C"/>
    <w:lvl w:ilvl="0" w:tplc="ED00C670">
      <w:start w:val="1"/>
      <w:numFmt w:val="lowerLetter"/>
      <w:lvlText w:val="%1)"/>
      <w:lvlJc w:val="left"/>
      <w:pPr>
        <w:ind w:left="1701" w:hanging="567"/>
      </w:pPr>
      <w:rPr>
        <w:rFonts w:cs="Times New Roman" w:hint="default"/>
        <w:b/>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4"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83DAE"/>
    <w:multiLevelType w:val="hybridMultilevel"/>
    <w:tmpl w:val="D96EE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D4F3E"/>
    <w:multiLevelType w:val="multilevel"/>
    <w:tmpl w:val="BA4461D2"/>
    <w:lvl w:ilvl="0">
      <w:start w:val="1"/>
      <w:numFmt w:val="decimal"/>
      <w:pStyle w:val="Poziom1"/>
      <w:lvlText w:val="%1."/>
      <w:lvlJc w:val="left"/>
      <w:pPr>
        <w:ind w:left="1418" w:hanging="567"/>
      </w:pPr>
      <w:rPr>
        <w:rFonts w:cs="Times New Roman" w:hint="default"/>
        <w:b w:val="0"/>
      </w:rPr>
    </w:lvl>
    <w:lvl w:ilvl="1">
      <w:start w:val="1"/>
      <w:numFmt w:val="lowerLetter"/>
      <w:lvlText w:val="%2)"/>
      <w:lvlJc w:val="left"/>
      <w:pPr>
        <w:ind w:left="284" w:hanging="28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F8F4A75"/>
    <w:multiLevelType w:val="hybridMultilevel"/>
    <w:tmpl w:val="5D447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BB71CB"/>
    <w:multiLevelType w:val="hybridMultilevel"/>
    <w:tmpl w:val="CE0AE2D2"/>
    <w:lvl w:ilvl="0" w:tplc="3FEA63FA">
      <w:start w:val="1"/>
      <w:numFmt w:val="decimal"/>
      <w:lvlText w:val="(%1)"/>
      <w:lvlJc w:val="left"/>
      <w:pPr>
        <w:ind w:left="851" w:hanging="851"/>
      </w:pPr>
      <w:rPr>
        <w:rFonts w:cs="Times New Roman" w:hint="default"/>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06898"/>
    <w:multiLevelType w:val="hybridMultilevel"/>
    <w:tmpl w:val="97D2E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2"/>
  </w:num>
  <w:num w:numId="5">
    <w:abstractNumId w:val="4"/>
  </w:num>
  <w:num w:numId="6">
    <w:abstractNumId w:val="8"/>
  </w:num>
  <w:num w:numId="7">
    <w:abstractNumId w:val="7"/>
  </w:num>
  <w:num w:numId="8">
    <w:abstractNumId w:val="13"/>
  </w:num>
  <w:num w:numId="9">
    <w:abstractNumId w:val="11"/>
  </w:num>
  <w:num w:numId="10">
    <w:abstractNumId w:val="0"/>
  </w:num>
  <w:num w:numId="11">
    <w:abstractNumId w:val="3"/>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03D6"/>
    <w:rsid w:val="0000155F"/>
    <w:rsid w:val="00002C19"/>
    <w:rsid w:val="00004D0E"/>
    <w:rsid w:val="0000713A"/>
    <w:rsid w:val="00007E00"/>
    <w:rsid w:val="00011AF2"/>
    <w:rsid w:val="00015EFD"/>
    <w:rsid w:val="00023634"/>
    <w:rsid w:val="000316EB"/>
    <w:rsid w:val="00042F96"/>
    <w:rsid w:val="0004463A"/>
    <w:rsid w:val="00052FF8"/>
    <w:rsid w:val="000631C2"/>
    <w:rsid w:val="000651E9"/>
    <w:rsid w:val="00065E7B"/>
    <w:rsid w:val="00073AA7"/>
    <w:rsid w:val="00076822"/>
    <w:rsid w:val="00090048"/>
    <w:rsid w:val="000A0C54"/>
    <w:rsid w:val="000A74FA"/>
    <w:rsid w:val="000B149D"/>
    <w:rsid w:val="000B1AC5"/>
    <w:rsid w:val="000B3442"/>
    <w:rsid w:val="000B4014"/>
    <w:rsid w:val="000B65D8"/>
    <w:rsid w:val="000B7247"/>
    <w:rsid w:val="000C0EF8"/>
    <w:rsid w:val="000C1995"/>
    <w:rsid w:val="000C4507"/>
    <w:rsid w:val="000F4CCE"/>
    <w:rsid w:val="001023A9"/>
    <w:rsid w:val="0010559C"/>
    <w:rsid w:val="001075E9"/>
    <w:rsid w:val="00107844"/>
    <w:rsid w:val="001109CE"/>
    <w:rsid w:val="00114224"/>
    <w:rsid w:val="00116170"/>
    <w:rsid w:val="00120FBD"/>
    <w:rsid w:val="00121425"/>
    <w:rsid w:val="00121DBF"/>
    <w:rsid w:val="00123A9D"/>
    <w:rsid w:val="0012424D"/>
    <w:rsid w:val="001244F3"/>
    <w:rsid w:val="0013159A"/>
    <w:rsid w:val="001350E4"/>
    <w:rsid w:val="00135455"/>
    <w:rsid w:val="00143310"/>
    <w:rsid w:val="00144E9C"/>
    <w:rsid w:val="00147236"/>
    <w:rsid w:val="00147ACF"/>
    <w:rsid w:val="00152D8E"/>
    <w:rsid w:val="00153A66"/>
    <w:rsid w:val="00160BBC"/>
    <w:rsid w:val="00161094"/>
    <w:rsid w:val="00163DF9"/>
    <w:rsid w:val="00166127"/>
    <w:rsid w:val="001666D6"/>
    <w:rsid w:val="00166B5D"/>
    <w:rsid w:val="001675EF"/>
    <w:rsid w:val="0017028A"/>
    <w:rsid w:val="00190D5A"/>
    <w:rsid w:val="0019555C"/>
    <w:rsid w:val="001979B5"/>
    <w:rsid w:val="001A5F7C"/>
    <w:rsid w:val="001A6E5B"/>
    <w:rsid w:val="001A7451"/>
    <w:rsid w:val="001B1D70"/>
    <w:rsid w:val="001B4139"/>
    <w:rsid w:val="001B5AED"/>
    <w:rsid w:val="001C055C"/>
    <w:rsid w:val="001C1FAD"/>
    <w:rsid w:val="001C580C"/>
    <w:rsid w:val="001E188E"/>
    <w:rsid w:val="001E2C1A"/>
    <w:rsid w:val="001E3DEF"/>
    <w:rsid w:val="001E4F92"/>
    <w:rsid w:val="001E5637"/>
    <w:rsid w:val="001E5CDD"/>
    <w:rsid w:val="001F41E6"/>
    <w:rsid w:val="001F4A73"/>
    <w:rsid w:val="001F4F07"/>
    <w:rsid w:val="00201316"/>
    <w:rsid w:val="00202012"/>
    <w:rsid w:val="002047EE"/>
    <w:rsid w:val="00205580"/>
    <w:rsid w:val="00210007"/>
    <w:rsid w:val="002116F9"/>
    <w:rsid w:val="0021447B"/>
    <w:rsid w:val="002157BB"/>
    <w:rsid w:val="00216469"/>
    <w:rsid w:val="00216C99"/>
    <w:rsid w:val="00225961"/>
    <w:rsid w:val="002262B5"/>
    <w:rsid w:val="0023138D"/>
    <w:rsid w:val="00236D81"/>
    <w:rsid w:val="00240013"/>
    <w:rsid w:val="0024118E"/>
    <w:rsid w:val="00241695"/>
    <w:rsid w:val="00241BAC"/>
    <w:rsid w:val="00242701"/>
    <w:rsid w:val="00243061"/>
    <w:rsid w:val="00250E41"/>
    <w:rsid w:val="00256071"/>
    <w:rsid w:val="00256D4D"/>
    <w:rsid w:val="00260382"/>
    <w:rsid w:val="002622F5"/>
    <w:rsid w:val="00263B6B"/>
    <w:rsid w:val="00264092"/>
    <w:rsid w:val="00266CB4"/>
    <w:rsid w:val="00267DD1"/>
    <w:rsid w:val="00270AC6"/>
    <w:rsid w:val="002801AA"/>
    <w:rsid w:val="002870B0"/>
    <w:rsid w:val="002902CB"/>
    <w:rsid w:val="00295B34"/>
    <w:rsid w:val="002A56FF"/>
    <w:rsid w:val="002A5D69"/>
    <w:rsid w:val="002B1DBF"/>
    <w:rsid w:val="002B434F"/>
    <w:rsid w:val="002B5BA3"/>
    <w:rsid w:val="002C0D5D"/>
    <w:rsid w:val="002C16A2"/>
    <w:rsid w:val="002C1D76"/>
    <w:rsid w:val="002C3240"/>
    <w:rsid w:val="002C692D"/>
    <w:rsid w:val="002C6ABE"/>
    <w:rsid w:val="002E388C"/>
    <w:rsid w:val="002E469E"/>
    <w:rsid w:val="002F0AF8"/>
    <w:rsid w:val="002F11B6"/>
    <w:rsid w:val="002F1BF3"/>
    <w:rsid w:val="002F4C0E"/>
    <w:rsid w:val="002F4D43"/>
    <w:rsid w:val="00300BC5"/>
    <w:rsid w:val="003056C6"/>
    <w:rsid w:val="00306833"/>
    <w:rsid w:val="00306D0D"/>
    <w:rsid w:val="00311B14"/>
    <w:rsid w:val="003147C4"/>
    <w:rsid w:val="003154AA"/>
    <w:rsid w:val="00317077"/>
    <w:rsid w:val="00317AA4"/>
    <w:rsid w:val="00324306"/>
    <w:rsid w:val="003278D6"/>
    <w:rsid w:val="003303F0"/>
    <w:rsid w:val="003306C9"/>
    <w:rsid w:val="00331997"/>
    <w:rsid w:val="0034059B"/>
    <w:rsid w:val="0035019C"/>
    <w:rsid w:val="0035051B"/>
    <w:rsid w:val="00353879"/>
    <w:rsid w:val="0035396C"/>
    <w:rsid w:val="00360248"/>
    <w:rsid w:val="00366A46"/>
    <w:rsid w:val="00377A0D"/>
    <w:rsid w:val="00383FF2"/>
    <w:rsid w:val="0038677D"/>
    <w:rsid w:val="0039016E"/>
    <w:rsid w:val="00393192"/>
    <w:rsid w:val="00397DFD"/>
    <w:rsid w:val="003A18F1"/>
    <w:rsid w:val="003A3FF6"/>
    <w:rsid w:val="003B12F7"/>
    <w:rsid w:val="003B2AE9"/>
    <w:rsid w:val="003C1585"/>
    <w:rsid w:val="003C1ED5"/>
    <w:rsid w:val="003C4B39"/>
    <w:rsid w:val="003D3FF4"/>
    <w:rsid w:val="003D7161"/>
    <w:rsid w:val="003E016E"/>
    <w:rsid w:val="003E14D0"/>
    <w:rsid w:val="003E3F9D"/>
    <w:rsid w:val="003E69E5"/>
    <w:rsid w:val="003E71A5"/>
    <w:rsid w:val="003F0F17"/>
    <w:rsid w:val="003F25C3"/>
    <w:rsid w:val="003F375E"/>
    <w:rsid w:val="00403072"/>
    <w:rsid w:val="0040748E"/>
    <w:rsid w:val="00412206"/>
    <w:rsid w:val="00427E08"/>
    <w:rsid w:val="00432FE2"/>
    <w:rsid w:val="004349BA"/>
    <w:rsid w:val="0043575C"/>
    <w:rsid w:val="004365C7"/>
    <w:rsid w:val="00441180"/>
    <w:rsid w:val="004425B7"/>
    <w:rsid w:val="00444A85"/>
    <w:rsid w:val="00446DEA"/>
    <w:rsid w:val="00447C9E"/>
    <w:rsid w:val="00461A51"/>
    <w:rsid w:val="00462249"/>
    <w:rsid w:val="00462CFA"/>
    <w:rsid w:val="00480B68"/>
    <w:rsid w:val="004824D9"/>
    <w:rsid w:val="00484228"/>
    <w:rsid w:val="00486291"/>
    <w:rsid w:val="00486DB1"/>
    <w:rsid w:val="004905A0"/>
    <w:rsid w:val="00493E10"/>
    <w:rsid w:val="004972E8"/>
    <w:rsid w:val="004A18B2"/>
    <w:rsid w:val="004A238E"/>
    <w:rsid w:val="004B47E6"/>
    <w:rsid w:val="004B4E96"/>
    <w:rsid w:val="004B4EA7"/>
    <w:rsid w:val="004C0F9E"/>
    <w:rsid w:val="004C1243"/>
    <w:rsid w:val="004C5C26"/>
    <w:rsid w:val="004C6853"/>
    <w:rsid w:val="004D25C6"/>
    <w:rsid w:val="004D7764"/>
    <w:rsid w:val="004E0F12"/>
    <w:rsid w:val="004F7E99"/>
    <w:rsid w:val="005003F9"/>
    <w:rsid w:val="0050417B"/>
    <w:rsid w:val="005133CE"/>
    <w:rsid w:val="00516C73"/>
    <w:rsid w:val="00521BA3"/>
    <w:rsid w:val="00523E0D"/>
    <w:rsid w:val="00525588"/>
    <w:rsid w:val="0052710E"/>
    <w:rsid w:val="00527F62"/>
    <w:rsid w:val="00531031"/>
    <w:rsid w:val="00533AEF"/>
    <w:rsid w:val="00537805"/>
    <w:rsid w:val="00541DFA"/>
    <w:rsid w:val="00542F0C"/>
    <w:rsid w:val="00543B0F"/>
    <w:rsid w:val="005442FC"/>
    <w:rsid w:val="0055631D"/>
    <w:rsid w:val="005611D5"/>
    <w:rsid w:val="005633DC"/>
    <w:rsid w:val="00567249"/>
    <w:rsid w:val="0057285A"/>
    <w:rsid w:val="00574300"/>
    <w:rsid w:val="00574B79"/>
    <w:rsid w:val="00582307"/>
    <w:rsid w:val="005840A1"/>
    <w:rsid w:val="00591046"/>
    <w:rsid w:val="00593935"/>
    <w:rsid w:val="00596871"/>
    <w:rsid w:val="00596C43"/>
    <w:rsid w:val="005973FD"/>
    <w:rsid w:val="00597B9F"/>
    <w:rsid w:val="00597C68"/>
    <w:rsid w:val="005A382B"/>
    <w:rsid w:val="005A4047"/>
    <w:rsid w:val="005A5173"/>
    <w:rsid w:val="005A5C09"/>
    <w:rsid w:val="005B0CAE"/>
    <w:rsid w:val="005B1ACF"/>
    <w:rsid w:val="005B23F4"/>
    <w:rsid w:val="005C0D39"/>
    <w:rsid w:val="005C5090"/>
    <w:rsid w:val="005C6232"/>
    <w:rsid w:val="005C712A"/>
    <w:rsid w:val="005C7B44"/>
    <w:rsid w:val="005D0E6F"/>
    <w:rsid w:val="005D30D2"/>
    <w:rsid w:val="005D61EE"/>
    <w:rsid w:val="005D6F7A"/>
    <w:rsid w:val="005E78EE"/>
    <w:rsid w:val="005F139F"/>
    <w:rsid w:val="005F1EBD"/>
    <w:rsid w:val="005F4308"/>
    <w:rsid w:val="005F589D"/>
    <w:rsid w:val="00603C61"/>
    <w:rsid w:val="00605784"/>
    <w:rsid w:val="006063D0"/>
    <w:rsid w:val="0060700E"/>
    <w:rsid w:val="00607251"/>
    <w:rsid w:val="00613C45"/>
    <w:rsid w:val="00633639"/>
    <w:rsid w:val="00633D4E"/>
    <w:rsid w:val="0063526F"/>
    <w:rsid w:val="00635798"/>
    <w:rsid w:val="00637E86"/>
    <w:rsid w:val="00641FE0"/>
    <w:rsid w:val="006422DE"/>
    <w:rsid w:val="006439FA"/>
    <w:rsid w:val="00647170"/>
    <w:rsid w:val="00663B53"/>
    <w:rsid w:val="00667DB3"/>
    <w:rsid w:val="0067485D"/>
    <w:rsid w:val="0068144E"/>
    <w:rsid w:val="006868AA"/>
    <w:rsid w:val="0069700C"/>
    <w:rsid w:val="006A1E85"/>
    <w:rsid w:val="006A2065"/>
    <w:rsid w:val="006A3D88"/>
    <w:rsid w:val="006A434F"/>
    <w:rsid w:val="006A4A7A"/>
    <w:rsid w:val="006A5133"/>
    <w:rsid w:val="006A5FEB"/>
    <w:rsid w:val="006B060B"/>
    <w:rsid w:val="006B0826"/>
    <w:rsid w:val="006B0848"/>
    <w:rsid w:val="006B5CE8"/>
    <w:rsid w:val="006B6F2B"/>
    <w:rsid w:val="006B733D"/>
    <w:rsid w:val="006C34AE"/>
    <w:rsid w:val="006C5751"/>
    <w:rsid w:val="006C67AF"/>
    <w:rsid w:val="006D0008"/>
    <w:rsid w:val="006D3DC5"/>
    <w:rsid w:val="006D53D8"/>
    <w:rsid w:val="006D5A0C"/>
    <w:rsid w:val="006E5ED2"/>
    <w:rsid w:val="006E64B7"/>
    <w:rsid w:val="006E7C3E"/>
    <w:rsid w:val="006F143B"/>
    <w:rsid w:val="006F4110"/>
    <w:rsid w:val="006F59D9"/>
    <w:rsid w:val="006F6AC2"/>
    <w:rsid w:val="006F74C9"/>
    <w:rsid w:val="007039EC"/>
    <w:rsid w:val="007102EA"/>
    <w:rsid w:val="0071572D"/>
    <w:rsid w:val="007157BA"/>
    <w:rsid w:val="007169F9"/>
    <w:rsid w:val="007174A6"/>
    <w:rsid w:val="007224B3"/>
    <w:rsid w:val="007267A2"/>
    <w:rsid w:val="00731303"/>
    <w:rsid w:val="007328C2"/>
    <w:rsid w:val="00732C67"/>
    <w:rsid w:val="0073475B"/>
    <w:rsid w:val="00735988"/>
    <w:rsid w:val="007402E0"/>
    <w:rsid w:val="0074489D"/>
    <w:rsid w:val="00746549"/>
    <w:rsid w:val="007514AD"/>
    <w:rsid w:val="0075408F"/>
    <w:rsid w:val="0075524D"/>
    <w:rsid w:val="007560B0"/>
    <w:rsid w:val="00757D00"/>
    <w:rsid w:val="00760E70"/>
    <w:rsid w:val="00760FC6"/>
    <w:rsid w:val="007627D7"/>
    <w:rsid w:val="007656A7"/>
    <w:rsid w:val="00765ADE"/>
    <w:rsid w:val="00766BA1"/>
    <w:rsid w:val="00770423"/>
    <w:rsid w:val="00775A5B"/>
    <w:rsid w:val="00776C4F"/>
    <w:rsid w:val="007838E4"/>
    <w:rsid w:val="0078444F"/>
    <w:rsid w:val="007846DC"/>
    <w:rsid w:val="00794C61"/>
    <w:rsid w:val="007974C2"/>
    <w:rsid w:val="007A02B2"/>
    <w:rsid w:val="007A19D8"/>
    <w:rsid w:val="007A44A7"/>
    <w:rsid w:val="007A65DF"/>
    <w:rsid w:val="007B14DC"/>
    <w:rsid w:val="007B2730"/>
    <w:rsid w:val="007B420E"/>
    <w:rsid w:val="007B43D9"/>
    <w:rsid w:val="007C1DBE"/>
    <w:rsid w:val="007D5754"/>
    <w:rsid w:val="007E36E4"/>
    <w:rsid w:val="007E73F9"/>
    <w:rsid w:val="007F0ACE"/>
    <w:rsid w:val="00800F0E"/>
    <w:rsid w:val="00803B60"/>
    <w:rsid w:val="00804024"/>
    <w:rsid w:val="008115FD"/>
    <w:rsid w:val="0081480C"/>
    <w:rsid w:val="0081753E"/>
    <w:rsid w:val="0082620C"/>
    <w:rsid w:val="00826346"/>
    <w:rsid w:val="00827390"/>
    <w:rsid w:val="0085010E"/>
    <w:rsid w:val="0085454F"/>
    <w:rsid w:val="00861980"/>
    <w:rsid w:val="0087354F"/>
    <w:rsid w:val="00876DAC"/>
    <w:rsid w:val="00882E26"/>
    <w:rsid w:val="0089109B"/>
    <w:rsid w:val="00893B73"/>
    <w:rsid w:val="00894188"/>
    <w:rsid w:val="00896985"/>
    <w:rsid w:val="008A64FF"/>
    <w:rsid w:val="008A71F2"/>
    <w:rsid w:val="008A79F5"/>
    <w:rsid w:val="008B107E"/>
    <w:rsid w:val="008B1979"/>
    <w:rsid w:val="008C328A"/>
    <w:rsid w:val="008C5280"/>
    <w:rsid w:val="008C53D0"/>
    <w:rsid w:val="008D3643"/>
    <w:rsid w:val="008D527A"/>
    <w:rsid w:val="008D56DA"/>
    <w:rsid w:val="008D5771"/>
    <w:rsid w:val="008D6929"/>
    <w:rsid w:val="008E5D83"/>
    <w:rsid w:val="008E5EF0"/>
    <w:rsid w:val="008E6DB7"/>
    <w:rsid w:val="008E7253"/>
    <w:rsid w:val="008F472E"/>
    <w:rsid w:val="00901689"/>
    <w:rsid w:val="00902556"/>
    <w:rsid w:val="0090338C"/>
    <w:rsid w:val="00904235"/>
    <w:rsid w:val="0091048E"/>
    <w:rsid w:val="00911902"/>
    <w:rsid w:val="009227B2"/>
    <w:rsid w:val="00924ABC"/>
    <w:rsid w:val="00926A2A"/>
    <w:rsid w:val="009301DF"/>
    <w:rsid w:val="00931343"/>
    <w:rsid w:val="00931959"/>
    <w:rsid w:val="009350A8"/>
    <w:rsid w:val="00935639"/>
    <w:rsid w:val="00940E8F"/>
    <w:rsid w:val="00943EFD"/>
    <w:rsid w:val="0094490E"/>
    <w:rsid w:val="0094608D"/>
    <w:rsid w:val="00951813"/>
    <w:rsid w:val="0095309C"/>
    <w:rsid w:val="00962D36"/>
    <w:rsid w:val="0096413B"/>
    <w:rsid w:val="009652F2"/>
    <w:rsid w:val="009719ED"/>
    <w:rsid w:val="00972D2B"/>
    <w:rsid w:val="0097520D"/>
    <w:rsid w:val="0097530F"/>
    <w:rsid w:val="0097651B"/>
    <w:rsid w:val="009806E4"/>
    <w:rsid w:val="009850C6"/>
    <w:rsid w:val="00986C37"/>
    <w:rsid w:val="00997528"/>
    <w:rsid w:val="0099796A"/>
    <w:rsid w:val="009A23B6"/>
    <w:rsid w:val="009B3FD3"/>
    <w:rsid w:val="009C1346"/>
    <w:rsid w:val="009D05C8"/>
    <w:rsid w:val="009D2C89"/>
    <w:rsid w:val="009D6830"/>
    <w:rsid w:val="009E1A49"/>
    <w:rsid w:val="009E2CD0"/>
    <w:rsid w:val="009E3C0B"/>
    <w:rsid w:val="009F120D"/>
    <w:rsid w:val="009F4406"/>
    <w:rsid w:val="009F529A"/>
    <w:rsid w:val="009F7AB7"/>
    <w:rsid w:val="00A12A65"/>
    <w:rsid w:val="00A13244"/>
    <w:rsid w:val="00A14883"/>
    <w:rsid w:val="00A149FB"/>
    <w:rsid w:val="00A15534"/>
    <w:rsid w:val="00A239AA"/>
    <w:rsid w:val="00A271D9"/>
    <w:rsid w:val="00A30B86"/>
    <w:rsid w:val="00A30C3E"/>
    <w:rsid w:val="00A37BA8"/>
    <w:rsid w:val="00A439E8"/>
    <w:rsid w:val="00A43B89"/>
    <w:rsid w:val="00A45753"/>
    <w:rsid w:val="00A532C6"/>
    <w:rsid w:val="00A53423"/>
    <w:rsid w:val="00A548C9"/>
    <w:rsid w:val="00A5540E"/>
    <w:rsid w:val="00A55456"/>
    <w:rsid w:val="00A608D9"/>
    <w:rsid w:val="00A62659"/>
    <w:rsid w:val="00A649EA"/>
    <w:rsid w:val="00A65F20"/>
    <w:rsid w:val="00A72CDD"/>
    <w:rsid w:val="00A75F39"/>
    <w:rsid w:val="00A76293"/>
    <w:rsid w:val="00A77DA2"/>
    <w:rsid w:val="00A84F9E"/>
    <w:rsid w:val="00A85D9D"/>
    <w:rsid w:val="00A90860"/>
    <w:rsid w:val="00A92C4C"/>
    <w:rsid w:val="00A95C41"/>
    <w:rsid w:val="00A96289"/>
    <w:rsid w:val="00AA36EE"/>
    <w:rsid w:val="00AA602D"/>
    <w:rsid w:val="00AB041F"/>
    <w:rsid w:val="00AB572D"/>
    <w:rsid w:val="00AC6931"/>
    <w:rsid w:val="00AD2F04"/>
    <w:rsid w:val="00AE2923"/>
    <w:rsid w:val="00AE7F9D"/>
    <w:rsid w:val="00AF1794"/>
    <w:rsid w:val="00AF6C53"/>
    <w:rsid w:val="00B00595"/>
    <w:rsid w:val="00B028F7"/>
    <w:rsid w:val="00B036F6"/>
    <w:rsid w:val="00B06E39"/>
    <w:rsid w:val="00B10DE0"/>
    <w:rsid w:val="00B11E76"/>
    <w:rsid w:val="00B1384B"/>
    <w:rsid w:val="00B1601C"/>
    <w:rsid w:val="00B17E67"/>
    <w:rsid w:val="00B22863"/>
    <w:rsid w:val="00B2522A"/>
    <w:rsid w:val="00B30B37"/>
    <w:rsid w:val="00B31B5C"/>
    <w:rsid w:val="00B37458"/>
    <w:rsid w:val="00B41502"/>
    <w:rsid w:val="00B51024"/>
    <w:rsid w:val="00B52D4E"/>
    <w:rsid w:val="00B57D6F"/>
    <w:rsid w:val="00B60CD8"/>
    <w:rsid w:val="00B60F9C"/>
    <w:rsid w:val="00B61C4C"/>
    <w:rsid w:val="00B673BE"/>
    <w:rsid w:val="00B6769E"/>
    <w:rsid w:val="00B73F22"/>
    <w:rsid w:val="00B76F9A"/>
    <w:rsid w:val="00B810B2"/>
    <w:rsid w:val="00B84466"/>
    <w:rsid w:val="00BA26F7"/>
    <w:rsid w:val="00BA4BE3"/>
    <w:rsid w:val="00BA79F0"/>
    <w:rsid w:val="00BB5068"/>
    <w:rsid w:val="00BB7AE8"/>
    <w:rsid w:val="00BC1DF8"/>
    <w:rsid w:val="00BD0481"/>
    <w:rsid w:val="00BD07F4"/>
    <w:rsid w:val="00BD4447"/>
    <w:rsid w:val="00BE1886"/>
    <w:rsid w:val="00BE1B7A"/>
    <w:rsid w:val="00BE2623"/>
    <w:rsid w:val="00BE3923"/>
    <w:rsid w:val="00BE4BF0"/>
    <w:rsid w:val="00BE5EE5"/>
    <w:rsid w:val="00BE68EE"/>
    <w:rsid w:val="00BE7F63"/>
    <w:rsid w:val="00BF45FB"/>
    <w:rsid w:val="00C0292D"/>
    <w:rsid w:val="00C123B1"/>
    <w:rsid w:val="00C21071"/>
    <w:rsid w:val="00C2398C"/>
    <w:rsid w:val="00C25569"/>
    <w:rsid w:val="00C27366"/>
    <w:rsid w:val="00C42B03"/>
    <w:rsid w:val="00C50BAB"/>
    <w:rsid w:val="00C524E2"/>
    <w:rsid w:val="00C63AA8"/>
    <w:rsid w:val="00C64892"/>
    <w:rsid w:val="00C74349"/>
    <w:rsid w:val="00C772D3"/>
    <w:rsid w:val="00C77374"/>
    <w:rsid w:val="00C7783C"/>
    <w:rsid w:val="00C9386A"/>
    <w:rsid w:val="00CA0CAD"/>
    <w:rsid w:val="00CA5918"/>
    <w:rsid w:val="00CA60EE"/>
    <w:rsid w:val="00CA6B58"/>
    <w:rsid w:val="00CA6DAB"/>
    <w:rsid w:val="00CB1AE6"/>
    <w:rsid w:val="00CB3ED4"/>
    <w:rsid w:val="00CB3F86"/>
    <w:rsid w:val="00CB47E6"/>
    <w:rsid w:val="00CC2338"/>
    <w:rsid w:val="00CC2EE2"/>
    <w:rsid w:val="00CC34B8"/>
    <w:rsid w:val="00CC55AB"/>
    <w:rsid w:val="00CD0389"/>
    <w:rsid w:val="00CD34F0"/>
    <w:rsid w:val="00CD36D5"/>
    <w:rsid w:val="00CD4DB7"/>
    <w:rsid w:val="00CD553C"/>
    <w:rsid w:val="00CE0954"/>
    <w:rsid w:val="00CE2C02"/>
    <w:rsid w:val="00CF11F7"/>
    <w:rsid w:val="00CF1B85"/>
    <w:rsid w:val="00D0727E"/>
    <w:rsid w:val="00D1323F"/>
    <w:rsid w:val="00D202BA"/>
    <w:rsid w:val="00D251AC"/>
    <w:rsid w:val="00D31E79"/>
    <w:rsid w:val="00D3238C"/>
    <w:rsid w:val="00D43766"/>
    <w:rsid w:val="00D47CCF"/>
    <w:rsid w:val="00D502C8"/>
    <w:rsid w:val="00D5319E"/>
    <w:rsid w:val="00D6457B"/>
    <w:rsid w:val="00D64E45"/>
    <w:rsid w:val="00D66D49"/>
    <w:rsid w:val="00D66DEC"/>
    <w:rsid w:val="00D71584"/>
    <w:rsid w:val="00D71A41"/>
    <w:rsid w:val="00D729C3"/>
    <w:rsid w:val="00D768A4"/>
    <w:rsid w:val="00D84BAC"/>
    <w:rsid w:val="00D92F52"/>
    <w:rsid w:val="00D947F4"/>
    <w:rsid w:val="00DA287A"/>
    <w:rsid w:val="00DA3E9E"/>
    <w:rsid w:val="00DA753F"/>
    <w:rsid w:val="00DB74FC"/>
    <w:rsid w:val="00DB7EE8"/>
    <w:rsid w:val="00DC182C"/>
    <w:rsid w:val="00DC5754"/>
    <w:rsid w:val="00DC6EE6"/>
    <w:rsid w:val="00DC7DD8"/>
    <w:rsid w:val="00DD03B4"/>
    <w:rsid w:val="00DD34A3"/>
    <w:rsid w:val="00DD36A1"/>
    <w:rsid w:val="00DD6056"/>
    <w:rsid w:val="00DE18F0"/>
    <w:rsid w:val="00DE213E"/>
    <w:rsid w:val="00DE53DE"/>
    <w:rsid w:val="00DE7C6A"/>
    <w:rsid w:val="00DF2857"/>
    <w:rsid w:val="00DF6844"/>
    <w:rsid w:val="00DF782B"/>
    <w:rsid w:val="00E02209"/>
    <w:rsid w:val="00E03342"/>
    <w:rsid w:val="00E036CB"/>
    <w:rsid w:val="00E03AEF"/>
    <w:rsid w:val="00E06437"/>
    <w:rsid w:val="00E102DE"/>
    <w:rsid w:val="00E113CB"/>
    <w:rsid w:val="00E1211D"/>
    <w:rsid w:val="00E24825"/>
    <w:rsid w:val="00E249BF"/>
    <w:rsid w:val="00E32C51"/>
    <w:rsid w:val="00E36B5F"/>
    <w:rsid w:val="00E37FF4"/>
    <w:rsid w:val="00E42093"/>
    <w:rsid w:val="00E4376D"/>
    <w:rsid w:val="00E522AD"/>
    <w:rsid w:val="00E64103"/>
    <w:rsid w:val="00E72D2D"/>
    <w:rsid w:val="00E76CD1"/>
    <w:rsid w:val="00E77626"/>
    <w:rsid w:val="00E866B8"/>
    <w:rsid w:val="00E93743"/>
    <w:rsid w:val="00E97B73"/>
    <w:rsid w:val="00EA1181"/>
    <w:rsid w:val="00EA1C43"/>
    <w:rsid w:val="00EA6C4A"/>
    <w:rsid w:val="00EB52CB"/>
    <w:rsid w:val="00EC05DD"/>
    <w:rsid w:val="00EC4B69"/>
    <w:rsid w:val="00ED7015"/>
    <w:rsid w:val="00EE21F6"/>
    <w:rsid w:val="00EE4AD8"/>
    <w:rsid w:val="00EE6EC1"/>
    <w:rsid w:val="00EE7EFC"/>
    <w:rsid w:val="00EF0310"/>
    <w:rsid w:val="00EF244D"/>
    <w:rsid w:val="00EF39C8"/>
    <w:rsid w:val="00EF49E2"/>
    <w:rsid w:val="00EF7C8B"/>
    <w:rsid w:val="00F049FA"/>
    <w:rsid w:val="00F10716"/>
    <w:rsid w:val="00F139AC"/>
    <w:rsid w:val="00F21EAC"/>
    <w:rsid w:val="00F2647C"/>
    <w:rsid w:val="00F3243D"/>
    <w:rsid w:val="00F35168"/>
    <w:rsid w:val="00F378CC"/>
    <w:rsid w:val="00F41972"/>
    <w:rsid w:val="00F42392"/>
    <w:rsid w:val="00F42B79"/>
    <w:rsid w:val="00F46D0D"/>
    <w:rsid w:val="00F53B46"/>
    <w:rsid w:val="00F54EEF"/>
    <w:rsid w:val="00F57DC3"/>
    <w:rsid w:val="00F678B1"/>
    <w:rsid w:val="00F739D0"/>
    <w:rsid w:val="00F842D6"/>
    <w:rsid w:val="00F8567B"/>
    <w:rsid w:val="00F87BDA"/>
    <w:rsid w:val="00F91785"/>
    <w:rsid w:val="00F92B59"/>
    <w:rsid w:val="00F93C58"/>
    <w:rsid w:val="00F948BC"/>
    <w:rsid w:val="00F960CF"/>
    <w:rsid w:val="00FA10A3"/>
    <w:rsid w:val="00FA1226"/>
    <w:rsid w:val="00FA35F4"/>
    <w:rsid w:val="00FC0D85"/>
    <w:rsid w:val="00FC4D58"/>
    <w:rsid w:val="00FD00A9"/>
    <w:rsid w:val="00FD09D8"/>
    <w:rsid w:val="00FD0B68"/>
    <w:rsid w:val="00FD4856"/>
    <w:rsid w:val="00FF2318"/>
    <w:rsid w:val="00FF72F8"/>
    <w:rsid w:val="00FF7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2158A7"/>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unhideWhenUsed/>
    <w:rsid w:val="00C7783C"/>
    <w:rPr>
      <w:rFonts w:ascii="Segoe UI" w:hAnsi="Segoe UI" w:cs="Segoe UI"/>
      <w:szCs w:val="18"/>
    </w:rPr>
  </w:style>
  <w:style w:type="character" w:customStyle="1" w:styleId="TekstdymkaZnak">
    <w:name w:val="Tekst dymka Znak"/>
    <w:basedOn w:val="Domylnaczcionkaakapitu"/>
    <w:link w:val="Tekstdymka"/>
    <w:uiPriority w:val="99"/>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customStyle="1" w:styleId="Nierozpoznanawzmianka1">
    <w:name w:val="Nierozpoznana wzmianka1"/>
    <w:basedOn w:val="Domylnaczcionkaakapitu"/>
    <w:uiPriority w:val="99"/>
    <w:semiHidden/>
    <w:unhideWhenUsed/>
    <w:rsid w:val="00A90860"/>
    <w:rPr>
      <w:color w:val="605E5C"/>
      <w:shd w:val="clear" w:color="auto" w:fill="E1DFDD"/>
    </w:rPr>
  </w:style>
  <w:style w:type="paragraph" w:styleId="Tekstprzypisukocowego">
    <w:name w:val="endnote text"/>
    <w:basedOn w:val="Normalny"/>
    <w:link w:val="TekstprzypisukocowegoZnak"/>
    <w:uiPriority w:val="99"/>
    <w:semiHidden/>
    <w:unhideWhenUsed/>
    <w:rsid w:val="00F54EEF"/>
    <w:rPr>
      <w:sz w:val="20"/>
      <w:szCs w:val="20"/>
    </w:rPr>
  </w:style>
  <w:style w:type="character" w:customStyle="1" w:styleId="TekstprzypisukocowegoZnak">
    <w:name w:val="Tekst przypisu końcowego Znak"/>
    <w:basedOn w:val="Domylnaczcionkaakapitu"/>
    <w:link w:val="Tekstprzypisukocowego"/>
    <w:uiPriority w:val="99"/>
    <w:semiHidden/>
    <w:rsid w:val="00F54EEF"/>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F54EEF"/>
    <w:rPr>
      <w:vertAlign w:val="superscript"/>
    </w:rPr>
  </w:style>
  <w:style w:type="character" w:styleId="UyteHipercze">
    <w:name w:val="FollowedHyperlink"/>
    <w:basedOn w:val="Domylnaczcionkaakapitu"/>
    <w:uiPriority w:val="99"/>
    <w:semiHidden/>
    <w:unhideWhenUsed/>
    <w:rsid w:val="00CC2338"/>
    <w:rPr>
      <w:color w:val="954F72" w:themeColor="followedHyperlink"/>
      <w:u w:val="single"/>
    </w:rPr>
  </w:style>
  <w:style w:type="paragraph" w:styleId="Poprawka">
    <w:name w:val="Revision"/>
    <w:hidden/>
    <w:uiPriority w:val="99"/>
    <w:semiHidden/>
    <w:rsid w:val="00243061"/>
    <w:pPr>
      <w:spacing w:after="0" w:line="240" w:lineRule="auto"/>
    </w:pPr>
    <w:rPr>
      <w:rFonts w:ascii="Trebuchet MS" w:eastAsia="Times New Roman" w:hAnsi="Trebuchet MS" w:cs="Times New Roman"/>
      <w:sz w:val="18"/>
    </w:rPr>
  </w:style>
  <w:style w:type="character" w:customStyle="1" w:styleId="Nierozpoznanawzmianka2">
    <w:name w:val="Nierozpoznana wzmianka2"/>
    <w:basedOn w:val="Domylnaczcionkaakapitu"/>
    <w:uiPriority w:val="99"/>
    <w:semiHidden/>
    <w:unhideWhenUsed/>
    <w:rsid w:val="00015EFD"/>
    <w:rPr>
      <w:color w:val="605E5C"/>
      <w:shd w:val="clear" w:color="auto" w:fill="E1DFDD"/>
    </w:rPr>
  </w:style>
  <w:style w:type="paragraph" w:customStyle="1" w:styleId="TekstNB">
    <w:name w:val="Tekst_NB"/>
    <w:basedOn w:val="Normalny"/>
    <w:link w:val="TekstNBZnak"/>
    <w:qFormat/>
    <w:rsid w:val="003E016E"/>
    <w:pPr>
      <w:overflowPunct w:val="0"/>
      <w:autoSpaceDE w:val="0"/>
      <w:autoSpaceDN w:val="0"/>
      <w:adjustRightInd w:val="0"/>
      <w:spacing w:before="120" w:after="120" w:line="360" w:lineRule="auto"/>
      <w:jc w:val="both"/>
      <w:textAlignment w:val="baseline"/>
    </w:pPr>
    <w:rPr>
      <w:rFonts w:ascii="Times New Roman" w:hAnsi="Times New Roman"/>
      <w:sz w:val="22"/>
      <w:szCs w:val="24"/>
      <w:lang w:eastAsia="pl-PL"/>
    </w:rPr>
  </w:style>
  <w:style w:type="character" w:customStyle="1" w:styleId="TekstNBZnak">
    <w:name w:val="Tekst_NB Znak"/>
    <w:basedOn w:val="Domylnaczcionkaakapitu"/>
    <w:link w:val="TekstNB"/>
    <w:locked/>
    <w:rsid w:val="003E016E"/>
    <w:rPr>
      <w:rFonts w:ascii="Times New Roman" w:eastAsia="Times New Roman" w:hAnsi="Times New Roman" w:cs="Times New Roman"/>
      <w:szCs w:val="24"/>
      <w:lang w:eastAsia="pl-PL"/>
    </w:rPr>
  </w:style>
  <w:style w:type="paragraph" w:customStyle="1" w:styleId="TekstNB2">
    <w:name w:val="Tekst_NB_2"/>
    <w:basedOn w:val="Akapitzlist"/>
    <w:link w:val="TekstNB2Znak"/>
    <w:autoRedefine/>
    <w:qFormat/>
    <w:rsid w:val="00DB74FC"/>
    <w:pPr>
      <w:spacing w:after="240" w:line="360" w:lineRule="auto"/>
      <w:ind w:left="0"/>
      <w:contextualSpacing w:val="0"/>
      <w:jc w:val="both"/>
    </w:pPr>
    <w:rPr>
      <w:sz w:val="22"/>
      <w:lang w:eastAsia="pl-PL"/>
    </w:rPr>
  </w:style>
  <w:style w:type="paragraph" w:customStyle="1" w:styleId="PKTABC">
    <w:name w:val="PKT_ABC"/>
    <w:basedOn w:val="Akapitzlist"/>
    <w:link w:val="PKTABCZnak"/>
    <w:qFormat/>
    <w:rsid w:val="001244F3"/>
    <w:pPr>
      <w:numPr>
        <w:numId w:val="10"/>
      </w:numPr>
      <w:spacing w:before="120" w:after="120" w:line="360" w:lineRule="auto"/>
      <w:ind w:left="1701" w:hanging="567"/>
      <w:contextualSpacing w:val="0"/>
      <w:jc w:val="both"/>
    </w:pPr>
    <w:rPr>
      <w:rFonts w:ascii="Times New Roman" w:hAnsi="Times New Roman"/>
      <w:sz w:val="22"/>
      <w:szCs w:val="24"/>
      <w:lang w:eastAsia="pl-PL"/>
    </w:rPr>
  </w:style>
  <w:style w:type="character" w:customStyle="1" w:styleId="PKTABCZnak">
    <w:name w:val="PKT_ABC Znak"/>
    <w:basedOn w:val="Domylnaczcionkaakapitu"/>
    <w:link w:val="PKTABC"/>
    <w:locked/>
    <w:rsid w:val="001244F3"/>
    <w:rPr>
      <w:rFonts w:ascii="Times New Roman" w:eastAsia="Times New Roman" w:hAnsi="Times New Roman" w:cs="Times New Roman"/>
      <w:szCs w:val="24"/>
      <w:lang w:eastAsia="pl-PL"/>
    </w:rPr>
  </w:style>
  <w:style w:type="character" w:customStyle="1" w:styleId="TekstNB2Znak">
    <w:name w:val="Tekst_NB_2 Znak"/>
    <w:link w:val="TekstNB2"/>
    <w:locked/>
    <w:rsid w:val="00DB74FC"/>
    <w:rPr>
      <w:rFonts w:ascii="Trebuchet MS" w:eastAsia="Times New Roman" w:hAnsi="Trebuchet MS" w:cs="Times New Roman"/>
      <w:lang w:eastAsia="pl-PL"/>
    </w:rPr>
  </w:style>
  <w:style w:type="paragraph" w:styleId="Tekstprzypisudolnego">
    <w:name w:val="footnote text"/>
    <w:aliases w:val="Znak,Tekst przypisu,Tekst przypisu dolnego Znak Znak,Podrozdział,Podrozdzia3,Tekst przypisu Znak Znak Znak Znak,Tekst przypisu Znak Znak Znak Znak Znak,Tekst przypisu Znak Znak Znak Znak Znak Znak Znak,fn,Char Char, Znak"/>
    <w:basedOn w:val="Normalny"/>
    <w:link w:val="TekstprzypisudolnegoZnak"/>
    <w:qFormat/>
    <w:rsid w:val="007A44A7"/>
    <w:pPr>
      <w:jc w:val="both"/>
    </w:pPr>
    <w:rPr>
      <w:rFonts w:ascii="Times New Roman" w:hAnsi="Times New Roman"/>
      <w:szCs w:val="24"/>
      <w:lang w:eastAsia="pl-PL"/>
    </w:rPr>
  </w:style>
  <w:style w:type="character" w:customStyle="1" w:styleId="TekstprzypisudolnegoZnak">
    <w:name w:val="Tekst przypisu dolnego Znak"/>
    <w:aliases w:val="Znak Znak,Tekst przypisu Znak,Tekst przypisu dolnego Znak Znak Znak,Podrozdział Znak,Podrozdzia3 Znak,Tekst przypisu Znak Znak Znak Znak Znak1,Tekst przypisu Znak Znak Znak Znak Znak Znak,fn Znak,Char Char Znak, Znak Znak"/>
    <w:basedOn w:val="Domylnaczcionkaakapitu"/>
    <w:link w:val="Tekstprzypisudolnego"/>
    <w:rsid w:val="007A44A7"/>
    <w:rPr>
      <w:rFonts w:ascii="Times New Roman" w:eastAsia="Times New Roman" w:hAnsi="Times New Roman" w:cs="Times New Roman"/>
      <w:sz w:val="18"/>
      <w:szCs w:val="24"/>
      <w:lang w:eastAsia="pl-PL"/>
    </w:rPr>
  </w:style>
  <w:style w:type="paragraph" w:customStyle="1" w:styleId="Wezwanie1">
    <w:name w:val="Wezwanie 1"/>
    <w:basedOn w:val="Normalny"/>
    <w:link w:val="Wezwanie1Znak"/>
    <w:qFormat/>
    <w:rsid w:val="007A44A7"/>
    <w:pPr>
      <w:numPr>
        <w:numId w:val="12"/>
      </w:numPr>
      <w:overflowPunct w:val="0"/>
      <w:autoSpaceDE w:val="0"/>
      <w:autoSpaceDN w:val="0"/>
      <w:adjustRightInd w:val="0"/>
      <w:spacing w:before="120" w:after="120" w:line="360" w:lineRule="auto"/>
      <w:jc w:val="both"/>
      <w:textAlignment w:val="baseline"/>
    </w:pPr>
    <w:rPr>
      <w:rFonts w:ascii="Times New Roman" w:hAnsi="Times New Roman"/>
      <w:sz w:val="22"/>
      <w:szCs w:val="24"/>
      <w:lang w:eastAsia="pl-PL"/>
    </w:rPr>
  </w:style>
  <w:style w:type="character" w:customStyle="1" w:styleId="Wezwanie1Znak">
    <w:name w:val="Wezwanie 1 Znak"/>
    <w:basedOn w:val="Domylnaczcionkaakapitu"/>
    <w:link w:val="Wezwanie1"/>
    <w:locked/>
    <w:rsid w:val="007A44A7"/>
    <w:rPr>
      <w:rFonts w:ascii="Times New Roman" w:eastAsia="Times New Roman" w:hAnsi="Times New Roman" w:cs="Times New Roman"/>
      <w:szCs w:val="24"/>
      <w:lang w:eastAsia="pl-PL"/>
    </w:rPr>
  </w:style>
  <w:style w:type="paragraph" w:customStyle="1" w:styleId="Poziom1">
    <w:name w:val="Poziom 1"/>
    <w:basedOn w:val="Normalny"/>
    <w:qFormat/>
    <w:rsid w:val="007A44A7"/>
    <w:pPr>
      <w:numPr>
        <w:numId w:val="13"/>
      </w:numPr>
      <w:tabs>
        <w:tab w:val="left" w:pos="567"/>
      </w:tabs>
      <w:suppressAutoHyphens/>
      <w:overflowPunct w:val="0"/>
      <w:autoSpaceDE w:val="0"/>
      <w:spacing w:before="120" w:after="120" w:line="360" w:lineRule="auto"/>
      <w:jc w:val="both"/>
      <w:textAlignment w:val="baseline"/>
    </w:pPr>
    <w:rPr>
      <w:rFonts w:ascii="Times New Roman" w:hAnsi="Times New Roman"/>
      <w:sz w:val="22"/>
      <w:szCs w:val="24"/>
      <w:lang w:eastAsia="zh-CN"/>
    </w:rPr>
  </w:style>
  <w:style w:type="character" w:styleId="Uwydatnienie">
    <w:name w:val="Emphasis"/>
    <w:basedOn w:val="Domylnaczcionkaakapitu"/>
    <w:uiPriority w:val="20"/>
    <w:qFormat/>
    <w:rsid w:val="00596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40962">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024574">
      <w:bodyDiv w:val="1"/>
      <w:marLeft w:val="0"/>
      <w:marRight w:val="0"/>
      <w:marTop w:val="0"/>
      <w:marBottom w:val="0"/>
      <w:divBdr>
        <w:top w:val="none" w:sz="0" w:space="0" w:color="auto"/>
        <w:left w:val="none" w:sz="0" w:space="0" w:color="auto"/>
        <w:bottom w:val="none" w:sz="0" w:space="0" w:color="auto"/>
        <w:right w:val="none" w:sz="0" w:space="0" w:color="auto"/>
      </w:divBdr>
    </w:div>
    <w:div w:id="916595588">
      <w:bodyDiv w:val="1"/>
      <w:marLeft w:val="0"/>
      <w:marRight w:val="0"/>
      <w:marTop w:val="0"/>
      <w:marBottom w:val="0"/>
      <w:divBdr>
        <w:top w:val="none" w:sz="0" w:space="0" w:color="auto"/>
        <w:left w:val="none" w:sz="0" w:space="0" w:color="auto"/>
        <w:bottom w:val="none" w:sz="0" w:space="0" w:color="auto"/>
        <w:right w:val="none" w:sz="0" w:space="0" w:color="auto"/>
      </w:divBdr>
    </w:div>
    <w:div w:id="1079325740">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924425">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kurencja.uokik.gov.pl/sygnali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competition/antitrust/actionsdamages/quantification_guide_pl.pdf" TargetMode="External"/><Relationship Id="rId4" Type="http://schemas.openxmlformats.org/officeDocument/2006/relationships/settings" Target="settings.xml"/><Relationship Id="rId9" Type="http://schemas.openxmlformats.org/officeDocument/2006/relationships/hyperlink" Target="https://eur-lex.europa.eu/legal-content/PL/TXT/?uri=CELEX%3A52013XC0613%2804%2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3A23-1EB0-486F-B088-8FFCFDED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1079</Words>
  <Characters>6474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3</cp:revision>
  <cp:lastPrinted>2020-11-26T17:23:00Z</cp:lastPrinted>
  <dcterms:created xsi:type="dcterms:W3CDTF">2020-12-04T15:13:00Z</dcterms:created>
  <dcterms:modified xsi:type="dcterms:W3CDTF">2020-12-07T07:39:00Z</dcterms:modified>
</cp:coreProperties>
</file>