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F5B9" w14:textId="184E887C" w:rsidR="00E73FC2" w:rsidRPr="006B0D54" w:rsidRDefault="00571F69" w:rsidP="00626BB4">
      <w:pPr>
        <w:spacing w:line="360" w:lineRule="auto"/>
        <w:rPr>
          <w:rFonts w:cs="Arial"/>
          <w:sz w:val="32"/>
          <w:szCs w:val="32"/>
        </w:rPr>
      </w:pPr>
      <w:bookmarkStart w:id="0" w:name="_Hlk65757632"/>
      <w:r w:rsidRPr="00571F69">
        <w:rPr>
          <w:rFonts w:cs="Arial"/>
          <w:sz w:val="32"/>
          <w:szCs w:val="32"/>
        </w:rPr>
        <w:t>TSUE PO STRONIE KONSUMENTÓW – KORZYSTNE ROZSTRZYGNI</w:t>
      </w:r>
      <w:r w:rsidR="00626BB4">
        <w:rPr>
          <w:rFonts w:cs="Arial"/>
          <w:sz w:val="32"/>
          <w:szCs w:val="32"/>
        </w:rPr>
        <w:t>Ę</w:t>
      </w:r>
      <w:r w:rsidRPr="00571F69">
        <w:rPr>
          <w:rFonts w:cs="Arial"/>
          <w:sz w:val="32"/>
          <w:szCs w:val="32"/>
        </w:rPr>
        <w:t>CIE DLA FRANKOWICZÓW</w:t>
      </w:r>
    </w:p>
    <w:p w14:paraId="1C4091A1" w14:textId="03158CDF" w:rsidR="00EE5531" w:rsidRDefault="00EE5531" w:rsidP="005C2BE9">
      <w:pPr>
        <w:pStyle w:val="Akapitzlist"/>
        <w:numPr>
          <w:ilvl w:val="0"/>
          <w:numId w:val="15"/>
        </w:numPr>
        <w:spacing w:before="240" w:after="240"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TSUE odpowiedział na 5 pytań prejudycjalnych</w:t>
      </w:r>
      <w:r w:rsidR="009A76A6">
        <w:rPr>
          <w:rFonts w:cs="Arial"/>
          <w:sz w:val="22"/>
        </w:rPr>
        <w:t xml:space="preserve"> </w:t>
      </w:r>
      <w:r w:rsidR="009A76A6" w:rsidRPr="00571F69">
        <w:rPr>
          <w:rFonts w:cs="Arial"/>
          <w:sz w:val="22"/>
        </w:rPr>
        <w:t>Sądu Okręgowego w Gdańsku</w:t>
      </w:r>
      <w:r w:rsidR="009A76A6">
        <w:rPr>
          <w:rFonts w:cs="Arial"/>
          <w:sz w:val="22"/>
        </w:rPr>
        <w:t>.</w:t>
      </w:r>
    </w:p>
    <w:p w14:paraId="6CCA03B4" w14:textId="4CA71651" w:rsidR="0057605C" w:rsidRDefault="0057605C" w:rsidP="00236CE6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Wyrok Trybunału potwierdza dotychczasową linię orzeczniczą w sprawach konsumenckich.</w:t>
      </w:r>
    </w:p>
    <w:p w14:paraId="3235980E" w14:textId="366F34E0" w:rsidR="004D0AD9" w:rsidRPr="00845778" w:rsidRDefault="009A76A6" w:rsidP="00845778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Trybunał </w:t>
      </w:r>
      <w:r w:rsidR="00EE5531">
        <w:rPr>
          <w:rFonts w:cs="Arial"/>
          <w:sz w:val="22"/>
        </w:rPr>
        <w:t xml:space="preserve">uznał, że to sądy krajowe </w:t>
      </w:r>
      <w:r w:rsidR="0057605C">
        <w:rPr>
          <w:rFonts w:cs="Arial"/>
          <w:sz w:val="22"/>
        </w:rPr>
        <w:t xml:space="preserve">odpowiadają za prawidłowe ustalenie stanu faktycznego oraz zastosowanie prawa krajowego. </w:t>
      </w:r>
    </w:p>
    <w:p w14:paraId="323C5E39" w14:textId="77777777" w:rsidR="00571F69" w:rsidRPr="00571F69" w:rsidRDefault="004D0AD9" w:rsidP="00571F69">
      <w:pPr>
        <w:spacing w:after="240" w:line="360" w:lineRule="auto"/>
        <w:jc w:val="both"/>
        <w:rPr>
          <w:rFonts w:cs="Arial"/>
          <w:sz w:val="22"/>
        </w:rPr>
      </w:pPr>
      <w:r w:rsidRPr="00DA41C4">
        <w:rPr>
          <w:b/>
          <w:sz w:val="22"/>
        </w:rPr>
        <w:t xml:space="preserve">[Warszawa, </w:t>
      </w:r>
      <w:r w:rsidR="00571F69">
        <w:rPr>
          <w:b/>
          <w:sz w:val="22"/>
        </w:rPr>
        <w:t>29</w:t>
      </w:r>
      <w:r>
        <w:rPr>
          <w:b/>
          <w:sz w:val="22"/>
        </w:rPr>
        <w:t xml:space="preserve"> </w:t>
      </w:r>
      <w:r w:rsidR="00571F69">
        <w:rPr>
          <w:b/>
          <w:sz w:val="22"/>
        </w:rPr>
        <w:t xml:space="preserve">kwietnia </w:t>
      </w:r>
      <w:r w:rsidRPr="00DA41C4">
        <w:rPr>
          <w:b/>
          <w:sz w:val="22"/>
        </w:rPr>
        <w:t>2021 r.]</w:t>
      </w:r>
      <w:r w:rsidRPr="00DA41C4">
        <w:rPr>
          <w:sz w:val="22"/>
        </w:rPr>
        <w:t xml:space="preserve"> </w:t>
      </w:r>
      <w:r w:rsidR="00571F69" w:rsidRPr="00571F69">
        <w:rPr>
          <w:rFonts w:cs="Arial"/>
          <w:sz w:val="22"/>
        </w:rPr>
        <w:t xml:space="preserve">Dzisiejsze rozstrzygnięcie TSUE dotyczy pięciu pytań prejudycjalnych Sądu Okręgowego w Gdańsku, który w grudniu 2019 r. złożył do Trybunału Sprawiedliwości wniosek o wydanie orzeczenia w związku z jedną z prowadzonych spraw – C-19/20 Bank BPH. </w:t>
      </w:r>
    </w:p>
    <w:p w14:paraId="50F7806E" w14:textId="77777777" w:rsidR="00571F69" w:rsidRPr="00571F69" w:rsidRDefault="00571F69" w:rsidP="00571F69">
      <w:pPr>
        <w:spacing w:after="240" w:line="360" w:lineRule="auto"/>
        <w:jc w:val="both"/>
        <w:rPr>
          <w:rFonts w:cs="Arial"/>
          <w:sz w:val="22"/>
        </w:rPr>
      </w:pPr>
      <w:r w:rsidRPr="00571F69">
        <w:rPr>
          <w:rFonts w:cs="Arial"/>
          <w:sz w:val="22"/>
        </w:rPr>
        <w:t>Pytania dotyczyły:</w:t>
      </w:r>
    </w:p>
    <w:p w14:paraId="4206DFFE" w14:textId="766A52CC" w:rsidR="00571F69" w:rsidRDefault="00571F69" w:rsidP="00571F69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Fonts w:cs="Arial"/>
          <w:sz w:val="22"/>
        </w:rPr>
      </w:pPr>
      <w:r w:rsidRPr="00571F69">
        <w:rPr>
          <w:rFonts w:cs="Arial"/>
          <w:sz w:val="22"/>
        </w:rPr>
        <w:t>Czy krajowy sąd ma obowiązek stwierdzenia niedozwolonego charakteru umowy, a w konsekwencji uznania nieważności umowy, po tym jak w zaakceptowanym przez strony aneksie niedozwolone postanowienie zostało zmienione?</w:t>
      </w:r>
    </w:p>
    <w:p w14:paraId="278E7CF3" w14:textId="6D604A61" w:rsidR="00236CE6" w:rsidRPr="00AD2286" w:rsidRDefault="009A76A6" w:rsidP="00AD2286">
      <w:pPr>
        <w:spacing w:after="240" w:line="360" w:lineRule="auto"/>
        <w:ind w:left="36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TSUE </w:t>
      </w:r>
      <w:r w:rsidR="00EE5531" w:rsidRPr="00AD2286">
        <w:rPr>
          <w:rFonts w:cs="Arial"/>
          <w:sz w:val="22"/>
        </w:rPr>
        <w:t>dopuszcza zmianę warunku niedozwolonego, poprzez zawarcie aneksu</w:t>
      </w:r>
      <w:r w:rsidR="0057605C">
        <w:rPr>
          <w:rFonts w:cs="Arial"/>
          <w:sz w:val="22"/>
        </w:rPr>
        <w:t xml:space="preserve"> do umowy z konsumentem</w:t>
      </w:r>
      <w:r w:rsidR="00EE5531" w:rsidRPr="00AD2286">
        <w:rPr>
          <w:rFonts w:cs="Arial"/>
          <w:sz w:val="22"/>
        </w:rPr>
        <w:t xml:space="preserve">, </w:t>
      </w:r>
      <w:r>
        <w:rPr>
          <w:rFonts w:cs="Arial"/>
          <w:sz w:val="22"/>
        </w:rPr>
        <w:t xml:space="preserve">jednak </w:t>
      </w:r>
      <w:r w:rsidR="00EE5531" w:rsidRPr="00AD2286">
        <w:rPr>
          <w:rFonts w:cs="Arial"/>
          <w:sz w:val="22"/>
        </w:rPr>
        <w:t xml:space="preserve">zwraca uwagę, że </w:t>
      </w:r>
      <w:r w:rsidR="0057605C">
        <w:rPr>
          <w:rFonts w:cs="Arial"/>
          <w:sz w:val="22"/>
        </w:rPr>
        <w:t xml:space="preserve">konsument powinien mieć pełną świadomość </w:t>
      </w:r>
      <w:r w:rsidR="0057605C" w:rsidRPr="0057605C">
        <w:rPr>
          <w:rFonts w:cs="Arial"/>
          <w:sz w:val="22"/>
        </w:rPr>
        <w:t>niewiążącego charakteru danego nieuczciwego warunku</w:t>
      </w:r>
      <w:r w:rsidR="0057605C">
        <w:rPr>
          <w:rFonts w:cs="Arial"/>
          <w:sz w:val="22"/>
        </w:rPr>
        <w:t xml:space="preserve"> i dobrowolność w zakresie zawarcia aneksu, a nowe postanowienie nie może być abuzywne</w:t>
      </w:r>
      <w:r w:rsidR="00EE5531" w:rsidRPr="00AD2286">
        <w:rPr>
          <w:rFonts w:cs="Arial"/>
          <w:sz w:val="22"/>
        </w:rPr>
        <w:t xml:space="preserve">. </w:t>
      </w:r>
      <w:r w:rsidR="00FE584D">
        <w:rPr>
          <w:rFonts w:cs="Arial"/>
          <w:sz w:val="22"/>
        </w:rPr>
        <w:t>W przypadku gdy</w:t>
      </w:r>
      <w:r w:rsidR="0057605C">
        <w:rPr>
          <w:rFonts w:cs="Arial"/>
          <w:sz w:val="22"/>
        </w:rPr>
        <w:t>by</w:t>
      </w:r>
      <w:r w:rsidR="00EE5531" w:rsidRPr="00AD2286">
        <w:rPr>
          <w:rFonts w:cs="Arial"/>
          <w:sz w:val="22"/>
        </w:rPr>
        <w:t xml:space="preserve"> </w:t>
      </w:r>
      <w:r w:rsidR="00FE584D">
        <w:rPr>
          <w:rFonts w:cs="Arial"/>
          <w:sz w:val="22"/>
        </w:rPr>
        <w:t xml:space="preserve">stało się inaczej – tzn. konsument podpisał dokument </w:t>
      </w:r>
      <w:r w:rsidR="00EE5531" w:rsidRPr="00AD2286">
        <w:rPr>
          <w:rFonts w:cs="Arial"/>
          <w:sz w:val="22"/>
        </w:rPr>
        <w:t>nieświadomie</w:t>
      </w:r>
      <w:r w:rsidR="00FE584D">
        <w:rPr>
          <w:rFonts w:cs="Arial"/>
          <w:sz w:val="22"/>
        </w:rPr>
        <w:t xml:space="preserve"> - </w:t>
      </w:r>
      <w:r w:rsidR="00EE5531" w:rsidRPr="00AD2286">
        <w:rPr>
          <w:rFonts w:cs="Arial"/>
          <w:sz w:val="22"/>
        </w:rPr>
        <w:t xml:space="preserve">kredytobiorca ma prawo do </w:t>
      </w:r>
      <w:r w:rsidR="0057605C">
        <w:rPr>
          <w:rFonts w:cs="Arial"/>
          <w:sz w:val="22"/>
        </w:rPr>
        <w:t>zakwestionowania go</w:t>
      </w:r>
      <w:r w:rsidR="00EE5531" w:rsidRPr="00AD2286">
        <w:rPr>
          <w:rFonts w:cs="Arial"/>
          <w:sz w:val="22"/>
        </w:rPr>
        <w:t xml:space="preserve">. Zgodnie z wyrokiem </w:t>
      </w:r>
      <w:r w:rsidR="00FE584D">
        <w:rPr>
          <w:rFonts w:cs="Arial"/>
          <w:sz w:val="22"/>
        </w:rPr>
        <w:t xml:space="preserve">TSUE, </w:t>
      </w:r>
      <w:r w:rsidR="0057605C">
        <w:rPr>
          <w:rFonts w:cs="Arial"/>
          <w:sz w:val="22"/>
        </w:rPr>
        <w:t xml:space="preserve">klient </w:t>
      </w:r>
      <w:r w:rsidR="00EE5531" w:rsidRPr="00AD2286">
        <w:rPr>
          <w:rFonts w:cs="Arial"/>
          <w:sz w:val="22"/>
        </w:rPr>
        <w:t xml:space="preserve">powinien </w:t>
      </w:r>
      <w:r w:rsidR="00C31E02">
        <w:rPr>
          <w:rFonts w:cs="Arial"/>
          <w:sz w:val="22"/>
        </w:rPr>
        <w:t>zostać jasno poinformowany</w:t>
      </w:r>
      <w:r w:rsidR="00EE5531" w:rsidRPr="00AD2286">
        <w:rPr>
          <w:rFonts w:cs="Arial"/>
          <w:sz w:val="22"/>
        </w:rPr>
        <w:t xml:space="preserve"> </w:t>
      </w:r>
      <w:r w:rsidR="005C2BE9">
        <w:rPr>
          <w:rFonts w:cs="Arial"/>
          <w:sz w:val="22"/>
        </w:rPr>
        <w:t xml:space="preserve">o tym, </w:t>
      </w:r>
      <w:r w:rsidR="00EE5531" w:rsidRPr="00AD2286">
        <w:rPr>
          <w:rFonts w:cs="Arial"/>
          <w:sz w:val="22"/>
        </w:rPr>
        <w:t xml:space="preserve">z czego </w:t>
      </w:r>
      <w:r w:rsidR="00C31E02">
        <w:rPr>
          <w:rFonts w:cs="Arial"/>
          <w:sz w:val="22"/>
        </w:rPr>
        <w:t>rezygnuje</w:t>
      </w:r>
      <w:r w:rsidR="005C2BE9">
        <w:rPr>
          <w:rFonts w:cs="Arial"/>
          <w:sz w:val="22"/>
        </w:rPr>
        <w:t>,</w:t>
      </w:r>
      <w:r w:rsidR="00EE5531" w:rsidRPr="00AD2286">
        <w:rPr>
          <w:rFonts w:cs="Arial"/>
          <w:sz w:val="22"/>
        </w:rPr>
        <w:t xml:space="preserve"> aneksując swoją wieloletnią umowę.</w:t>
      </w:r>
    </w:p>
    <w:p w14:paraId="1CCBD98F" w14:textId="6C8F710F" w:rsidR="00571F69" w:rsidRDefault="00571F69" w:rsidP="00571F69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Fonts w:cs="Arial"/>
          <w:sz w:val="22"/>
        </w:rPr>
      </w:pPr>
      <w:r w:rsidRPr="00571F69">
        <w:rPr>
          <w:rFonts w:cs="Arial"/>
          <w:sz w:val="22"/>
        </w:rPr>
        <w:t>Czy rodzimy sąd może uznać za nieuczciwe tylko wybrane elementy danego postanowienia umownego dotyczącego ustalania przez bank kursu wymiany waluty (tj. sposób ustalania marży), a pozostałą część postanowienia uznać za obowiązującą, bez potrzeby eliminowania całej klauzuli z umowy lub zastąpienia jej dyspozytywnym przepisem prawa?</w:t>
      </w:r>
    </w:p>
    <w:p w14:paraId="536604F6" w14:textId="3794918C" w:rsidR="00571F69" w:rsidRDefault="00571F69" w:rsidP="00571F69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Fonts w:cs="Arial"/>
          <w:sz w:val="22"/>
        </w:rPr>
      </w:pPr>
      <w:r w:rsidRPr="00571F69">
        <w:rPr>
          <w:rFonts w:cs="Arial"/>
          <w:sz w:val="22"/>
        </w:rPr>
        <w:t xml:space="preserve">Czy obowiązywanie </w:t>
      </w:r>
      <w:r w:rsidR="00C31E02">
        <w:rPr>
          <w:rFonts w:cs="Arial"/>
          <w:sz w:val="22"/>
        </w:rPr>
        <w:t xml:space="preserve">tzw. </w:t>
      </w:r>
      <w:r w:rsidRPr="00571F69">
        <w:rPr>
          <w:rFonts w:cs="Arial"/>
          <w:sz w:val="22"/>
        </w:rPr>
        <w:t xml:space="preserve">ustawy </w:t>
      </w:r>
      <w:proofErr w:type="spellStart"/>
      <w:r w:rsidRPr="00571F69">
        <w:rPr>
          <w:rFonts w:cs="Arial"/>
          <w:sz w:val="22"/>
        </w:rPr>
        <w:t>antyspreadowej</w:t>
      </w:r>
      <w:proofErr w:type="spellEnd"/>
      <w:r w:rsidRPr="00571F69">
        <w:rPr>
          <w:rFonts w:cs="Arial"/>
          <w:sz w:val="22"/>
        </w:rPr>
        <w:t xml:space="preserve"> </w:t>
      </w:r>
      <w:r w:rsidR="00C31E02">
        <w:rPr>
          <w:rFonts w:cs="Arial"/>
          <w:sz w:val="22"/>
        </w:rPr>
        <w:t xml:space="preserve">z 2011 r. </w:t>
      </w:r>
      <w:r w:rsidRPr="00571F69">
        <w:rPr>
          <w:rFonts w:cs="Arial"/>
          <w:sz w:val="22"/>
        </w:rPr>
        <w:t>ma wpływ na stwierdzenie abuzywności postanowień umownych w sposób wskazany w pytaniu drugim?</w:t>
      </w:r>
    </w:p>
    <w:p w14:paraId="66C357D4" w14:textId="221263BA" w:rsidR="00236CE6" w:rsidRDefault="00FE584D" w:rsidP="00C31E02">
      <w:pPr>
        <w:pStyle w:val="Akapitzlist"/>
        <w:spacing w:after="240" w:line="360" w:lineRule="auto"/>
        <w:ind w:left="360"/>
        <w:jc w:val="both"/>
        <w:rPr>
          <w:rFonts w:cs="Arial"/>
          <w:sz w:val="22"/>
        </w:rPr>
      </w:pPr>
      <w:r w:rsidRPr="00AD2286">
        <w:rPr>
          <w:rFonts w:cs="Arial"/>
          <w:sz w:val="22"/>
        </w:rPr>
        <w:lastRenderedPageBreak/>
        <w:t xml:space="preserve">Trybunał </w:t>
      </w:r>
      <w:r w:rsidR="00236CE6">
        <w:rPr>
          <w:rFonts w:cs="Arial"/>
          <w:sz w:val="22"/>
        </w:rPr>
        <w:t>na pytani</w:t>
      </w:r>
      <w:r>
        <w:rPr>
          <w:rFonts w:cs="Arial"/>
          <w:sz w:val="22"/>
        </w:rPr>
        <w:t>e</w:t>
      </w:r>
      <w:r w:rsidR="00236CE6">
        <w:rPr>
          <w:rFonts w:cs="Arial"/>
          <w:sz w:val="22"/>
        </w:rPr>
        <w:t xml:space="preserve"> 2 i 3 udzielił łącznej odpowiedzi</w:t>
      </w:r>
      <w:r w:rsidR="00EE5531">
        <w:rPr>
          <w:rFonts w:cs="Arial"/>
          <w:sz w:val="22"/>
        </w:rPr>
        <w:t>.</w:t>
      </w:r>
      <w:r w:rsidR="00236CE6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Uznał, że </w:t>
      </w:r>
      <w:r w:rsidR="00C31E02">
        <w:rPr>
          <w:rFonts w:cs="Arial"/>
          <w:sz w:val="22"/>
        </w:rPr>
        <w:t xml:space="preserve">unieważnienie części postanowienia umownego jest możliwe tylko wówczas, gdy jego poszczególne części stanowią odrębne zobowiązania umowne. </w:t>
      </w:r>
      <w:r w:rsidR="00567790">
        <w:rPr>
          <w:rFonts w:cs="Arial"/>
          <w:sz w:val="22"/>
        </w:rPr>
        <w:t>Zdaniem Prezesa UOKiK, mając na względzie wytyczne TSUE w tym zakresie, w</w:t>
      </w:r>
      <w:r w:rsidR="00EE5531" w:rsidRPr="00AD2286">
        <w:rPr>
          <w:rFonts w:cs="Arial"/>
          <w:sz w:val="22"/>
        </w:rPr>
        <w:t xml:space="preserve"> </w:t>
      </w:r>
      <w:r w:rsidRPr="00AD2286">
        <w:rPr>
          <w:rFonts w:cs="Arial"/>
          <w:sz w:val="22"/>
        </w:rPr>
        <w:t xml:space="preserve">rozpatrywanym </w:t>
      </w:r>
      <w:r w:rsidR="00EE5531" w:rsidRPr="00AD2286">
        <w:rPr>
          <w:rFonts w:cs="Arial"/>
          <w:sz w:val="22"/>
        </w:rPr>
        <w:t>przypadku</w:t>
      </w:r>
      <w:r w:rsidR="00567790">
        <w:rPr>
          <w:rFonts w:cs="Arial"/>
          <w:sz w:val="22"/>
        </w:rPr>
        <w:t>,</w:t>
      </w:r>
      <w:r w:rsidR="00EE5531" w:rsidRPr="00AD2286">
        <w:rPr>
          <w:rFonts w:cs="Arial"/>
          <w:sz w:val="22"/>
        </w:rPr>
        <w:t xml:space="preserve"> nie jest możliwy podział </w:t>
      </w:r>
      <w:r w:rsidR="00567790">
        <w:rPr>
          <w:rFonts w:cs="Arial"/>
          <w:sz w:val="22"/>
        </w:rPr>
        <w:t xml:space="preserve">postanowienia umownego </w:t>
      </w:r>
      <w:r w:rsidR="00EE5531" w:rsidRPr="00AD2286">
        <w:rPr>
          <w:rFonts w:cs="Arial"/>
          <w:sz w:val="22"/>
        </w:rPr>
        <w:t>na odrębne elementy</w:t>
      </w:r>
      <w:r w:rsidR="00567790">
        <w:rPr>
          <w:rFonts w:cs="Arial"/>
          <w:sz w:val="22"/>
        </w:rPr>
        <w:t>, co oznacza konieczność uznania za abuzywnego całego postanowienia dotyczącego klauzuli indeksacyjnej</w:t>
      </w:r>
      <w:r w:rsidR="00EE5531" w:rsidRPr="00AD2286">
        <w:rPr>
          <w:rFonts w:cs="Arial"/>
          <w:sz w:val="22"/>
        </w:rPr>
        <w:t>.</w:t>
      </w:r>
    </w:p>
    <w:p w14:paraId="70E98062" w14:textId="77777777" w:rsidR="00AD2286" w:rsidRDefault="00AD2286" w:rsidP="00C31E02">
      <w:pPr>
        <w:pStyle w:val="Akapitzlist"/>
        <w:spacing w:after="240" w:line="360" w:lineRule="auto"/>
        <w:ind w:left="360"/>
        <w:jc w:val="both"/>
        <w:rPr>
          <w:rFonts w:cs="Arial"/>
          <w:sz w:val="22"/>
        </w:rPr>
      </w:pPr>
    </w:p>
    <w:p w14:paraId="0BD92C2F" w14:textId="64E12E99" w:rsidR="00571F69" w:rsidRDefault="00571F69" w:rsidP="00571F69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Fonts w:cs="Arial"/>
          <w:sz w:val="22"/>
        </w:rPr>
      </w:pPr>
      <w:r w:rsidRPr="00571F69">
        <w:rPr>
          <w:rFonts w:cs="Arial"/>
          <w:sz w:val="22"/>
        </w:rPr>
        <w:t>Czy w związku z brakiem obowiązywania umowy w wyniku wydanego wyroku sądowego, roszczenia konsumenta i przedsiębiorcy z tym związane stają się wymagalne w momencie uprawomocnienia się tego orzeczenia?</w:t>
      </w:r>
    </w:p>
    <w:p w14:paraId="2DC57FD2" w14:textId="77777777" w:rsidR="00AD2286" w:rsidRDefault="00AD2286" w:rsidP="00AD2286">
      <w:pPr>
        <w:pStyle w:val="Akapitzlist"/>
        <w:spacing w:after="240" w:line="360" w:lineRule="auto"/>
        <w:ind w:left="1065"/>
        <w:jc w:val="both"/>
        <w:rPr>
          <w:rFonts w:cs="Arial"/>
          <w:sz w:val="22"/>
        </w:rPr>
      </w:pPr>
    </w:p>
    <w:p w14:paraId="0E64054B" w14:textId="77777777" w:rsidR="00AD2286" w:rsidRDefault="00EE5531">
      <w:pPr>
        <w:pStyle w:val="Akapitzlist"/>
        <w:spacing w:after="240" w:line="360" w:lineRule="auto"/>
        <w:ind w:left="360"/>
        <w:jc w:val="both"/>
        <w:rPr>
          <w:rFonts w:cs="Arial"/>
          <w:sz w:val="22"/>
        </w:rPr>
      </w:pPr>
      <w:r w:rsidRPr="00AD2286">
        <w:rPr>
          <w:rFonts w:cs="Arial"/>
          <w:sz w:val="22"/>
        </w:rPr>
        <w:t>Zdaniem TSUE</w:t>
      </w:r>
      <w:r w:rsidR="00FE584D">
        <w:rPr>
          <w:rFonts w:cs="Arial"/>
          <w:sz w:val="22"/>
        </w:rPr>
        <w:t xml:space="preserve">, </w:t>
      </w:r>
      <w:r w:rsidR="00567790">
        <w:rPr>
          <w:rFonts w:cs="Arial"/>
          <w:sz w:val="22"/>
        </w:rPr>
        <w:t xml:space="preserve">skutki stwierdzenia przez sąd nieuczciwego warunku w umowie zawartej między przedsiębiorcą a konsumentem podlegają przepisom prawa krajowego, przy czym kwestia utrzymania w mocy takiej umowy powinna być oceniana przez sąd krajowy zgodnie z obiektywnym podejściem na podstawie przepisów krajowych. Tym samym TSUE potwierdził stanowisko prezentowane w dotychczasowym orzecznictwie. W uzasadnieniu TSUE w zakresie początku biegu przedawnienia roszczeń konsumenta względem przedsiębiorcy, Trybunał powołał się na </w:t>
      </w:r>
      <w:r w:rsidR="00AD2286">
        <w:rPr>
          <w:rFonts w:cs="Arial"/>
          <w:sz w:val="22"/>
        </w:rPr>
        <w:t xml:space="preserve">swojego dotychczasowe orzecznictwo. </w:t>
      </w:r>
    </w:p>
    <w:p w14:paraId="000D2A39" w14:textId="213F2465" w:rsidR="00EE5531" w:rsidRDefault="00AD2286" w:rsidP="00AD2286">
      <w:pPr>
        <w:pStyle w:val="Akapitzlist"/>
        <w:spacing w:after="240" w:line="360" w:lineRule="auto"/>
        <w:ind w:left="36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Należy przy tym przypomnieć o </w:t>
      </w:r>
      <w:r w:rsidR="00567790">
        <w:rPr>
          <w:rFonts w:cs="Arial"/>
          <w:sz w:val="22"/>
        </w:rPr>
        <w:t>niedawny</w:t>
      </w:r>
      <w:r>
        <w:rPr>
          <w:rFonts w:cs="Arial"/>
          <w:sz w:val="22"/>
        </w:rPr>
        <w:t>m</w:t>
      </w:r>
      <w:r w:rsidR="00567790">
        <w:rPr>
          <w:rFonts w:cs="Arial"/>
          <w:sz w:val="22"/>
        </w:rPr>
        <w:t xml:space="preserve"> wyrok</w:t>
      </w:r>
      <w:r>
        <w:rPr>
          <w:rFonts w:cs="Arial"/>
          <w:sz w:val="22"/>
        </w:rPr>
        <w:t>u</w:t>
      </w:r>
      <w:r w:rsidR="00567790">
        <w:rPr>
          <w:rFonts w:cs="Arial"/>
          <w:sz w:val="22"/>
        </w:rPr>
        <w:t xml:space="preserve"> w sprawie </w:t>
      </w:r>
      <w:r w:rsidR="00567790" w:rsidRPr="00571F69">
        <w:rPr>
          <w:rFonts w:cs="Arial"/>
          <w:sz w:val="22"/>
        </w:rPr>
        <w:t xml:space="preserve">C-485/19 </w:t>
      </w:r>
      <w:proofErr w:type="spellStart"/>
      <w:r w:rsidR="00567790" w:rsidRPr="00571F69">
        <w:rPr>
          <w:rFonts w:cs="Arial"/>
          <w:sz w:val="22"/>
        </w:rPr>
        <w:t>Profi</w:t>
      </w:r>
      <w:proofErr w:type="spellEnd"/>
      <w:r w:rsidR="00567790" w:rsidRPr="00571F69">
        <w:rPr>
          <w:rFonts w:cs="Arial"/>
          <w:sz w:val="22"/>
        </w:rPr>
        <w:t xml:space="preserve"> </w:t>
      </w:r>
      <w:proofErr w:type="spellStart"/>
      <w:r w:rsidR="00567790" w:rsidRPr="00571F69">
        <w:rPr>
          <w:rFonts w:cs="Arial"/>
          <w:sz w:val="22"/>
        </w:rPr>
        <w:t>C</w:t>
      </w:r>
      <w:r w:rsidR="00567790">
        <w:rPr>
          <w:rFonts w:cs="Arial"/>
          <w:sz w:val="22"/>
        </w:rPr>
        <w:t>re</w:t>
      </w:r>
      <w:r w:rsidR="00567790" w:rsidRPr="00571F69">
        <w:rPr>
          <w:rFonts w:cs="Arial"/>
          <w:sz w:val="22"/>
        </w:rPr>
        <w:t>dit</w:t>
      </w:r>
      <w:proofErr w:type="spellEnd"/>
      <w:r w:rsidR="00567790" w:rsidRPr="00571F69">
        <w:rPr>
          <w:rFonts w:cs="Arial"/>
          <w:sz w:val="22"/>
        </w:rPr>
        <w:t xml:space="preserve"> </w:t>
      </w:r>
      <w:proofErr w:type="spellStart"/>
      <w:r w:rsidR="00567790" w:rsidRPr="00571F69">
        <w:rPr>
          <w:rFonts w:cs="Arial"/>
          <w:sz w:val="22"/>
        </w:rPr>
        <w:t>Slovakia</w:t>
      </w:r>
      <w:proofErr w:type="spellEnd"/>
      <w:r w:rsidR="008C2903">
        <w:rPr>
          <w:rFonts w:cs="Arial"/>
          <w:sz w:val="22"/>
        </w:rPr>
        <w:t xml:space="preserve">. Zgodnie z tym </w:t>
      </w:r>
      <w:r>
        <w:rPr>
          <w:rFonts w:cs="Arial"/>
          <w:sz w:val="22"/>
        </w:rPr>
        <w:t>orzeczeniem</w:t>
      </w:r>
      <w:r w:rsidR="008C2903">
        <w:rPr>
          <w:rFonts w:cs="Arial"/>
          <w:sz w:val="22"/>
        </w:rPr>
        <w:t xml:space="preserve"> roszczenia konsumenta wobec przedsiębiorcy nie mogą przedawnić się, kiedy konsument nie jest świadomy abuzywnego charakteru klauzuli oraz jego konsekwencji w postaci roszczenia restytucyjnego. </w:t>
      </w:r>
    </w:p>
    <w:p w14:paraId="352ED8E7" w14:textId="77777777" w:rsidR="008C2903" w:rsidRDefault="008C2903">
      <w:pPr>
        <w:pStyle w:val="Akapitzlist"/>
        <w:spacing w:after="240" w:line="360" w:lineRule="auto"/>
        <w:ind w:left="360"/>
        <w:jc w:val="both"/>
        <w:rPr>
          <w:rFonts w:cs="Arial"/>
          <w:sz w:val="22"/>
        </w:rPr>
      </w:pPr>
    </w:p>
    <w:p w14:paraId="6BAC36B2" w14:textId="7D96C23A" w:rsidR="008C2903" w:rsidRDefault="008C2903" w:rsidP="00845778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</w:rPr>
      </w:pPr>
      <w:r w:rsidRPr="00AD2286">
        <w:rPr>
          <w:sz w:val="22"/>
        </w:rPr>
        <w:t xml:space="preserve">Czy w przypadku roszczeń konsumenta o unieważnienie umowy wynikające z istnienia niedozwolonego charakteru klauzul umownych sąd ma obowiązek poinformować go o skutkach tej nieważności także w zakresie ewentualnych roszczeń przedsiębiorcy, nawet jeżeli nie zostały zgłoszone w toku postępowania lub ich zasadność nie jest jednoznacznie przesądzona. </w:t>
      </w:r>
    </w:p>
    <w:p w14:paraId="74F2C893" w14:textId="77777777" w:rsidR="008C2903" w:rsidRPr="00AD2286" w:rsidRDefault="008C2903" w:rsidP="00AD2286">
      <w:pPr>
        <w:pStyle w:val="Akapitzlist"/>
        <w:ind w:left="1065"/>
        <w:jc w:val="both"/>
        <w:rPr>
          <w:sz w:val="22"/>
        </w:rPr>
      </w:pPr>
    </w:p>
    <w:p w14:paraId="1EEB556E" w14:textId="2B9ECE21" w:rsidR="00AD2286" w:rsidRDefault="008C2903">
      <w:pPr>
        <w:spacing w:line="360" w:lineRule="auto"/>
        <w:ind w:left="360"/>
        <w:jc w:val="both"/>
        <w:rPr>
          <w:rFonts w:cs="Arial"/>
          <w:sz w:val="22"/>
        </w:rPr>
      </w:pPr>
      <w:r>
        <w:rPr>
          <w:rFonts w:cs="Arial"/>
          <w:sz w:val="22"/>
        </w:rPr>
        <w:t>TSUE potwierdził swoje dotychczasowe orzecznictwo w zakresie obowiązku poinformowania konsumenta przez sąd o skutkach nieważności umowy.</w:t>
      </w:r>
      <w:r w:rsidR="00AD2286">
        <w:rPr>
          <w:rFonts w:cs="Arial"/>
          <w:sz w:val="22"/>
        </w:rPr>
        <w:t xml:space="preserve"> Ponadto to konsument decyduje, czy chce być objęty ochroną wynikającą ze skutków stosowania w umowie klauzul abuzywnych.</w:t>
      </w:r>
      <w:r>
        <w:rPr>
          <w:rFonts w:cs="Arial"/>
          <w:sz w:val="22"/>
        </w:rPr>
        <w:t xml:space="preserve"> </w:t>
      </w:r>
      <w:r w:rsidR="00AD2286">
        <w:rPr>
          <w:rFonts w:cs="Arial"/>
          <w:sz w:val="22"/>
        </w:rPr>
        <w:t>Trybunał podkreślił również, że ochrona wynikająca z dyrektywy 93/13/WE ma charakter obiektywny.</w:t>
      </w:r>
    </w:p>
    <w:p w14:paraId="64017CD7" w14:textId="42AAADF3" w:rsidR="00EE5531" w:rsidRDefault="00AD2286">
      <w:pPr>
        <w:spacing w:line="360" w:lineRule="auto"/>
        <w:ind w:left="360"/>
        <w:jc w:val="both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Warto pokreślić, że TSUE nie odniósł się </w:t>
      </w:r>
      <w:r w:rsidR="00EE5531" w:rsidRPr="00AD2286">
        <w:rPr>
          <w:rFonts w:cs="Arial"/>
          <w:sz w:val="22"/>
        </w:rPr>
        <w:t xml:space="preserve">bezpośrednio do </w:t>
      </w:r>
      <w:r>
        <w:rPr>
          <w:rFonts w:cs="Arial"/>
          <w:sz w:val="22"/>
        </w:rPr>
        <w:t xml:space="preserve">kwestii </w:t>
      </w:r>
      <w:r w:rsidR="00EE5531" w:rsidRPr="00AD2286">
        <w:rPr>
          <w:rFonts w:cs="Arial"/>
          <w:sz w:val="22"/>
        </w:rPr>
        <w:t xml:space="preserve">wynagrodzenia za kapitał, ponieważ nie tego dotyczyło pytanie </w:t>
      </w:r>
      <w:r>
        <w:rPr>
          <w:rFonts w:cs="Arial"/>
          <w:sz w:val="22"/>
        </w:rPr>
        <w:t>S</w:t>
      </w:r>
      <w:r w:rsidR="00EE5531" w:rsidRPr="00AD2286">
        <w:rPr>
          <w:rFonts w:cs="Arial"/>
          <w:sz w:val="22"/>
        </w:rPr>
        <w:t>ądu</w:t>
      </w:r>
      <w:r>
        <w:rPr>
          <w:rFonts w:cs="Arial"/>
          <w:sz w:val="22"/>
        </w:rPr>
        <w:t xml:space="preserve"> Okręgowego</w:t>
      </w:r>
      <w:r w:rsidR="00FE584D">
        <w:rPr>
          <w:rFonts w:cs="Arial"/>
          <w:sz w:val="22"/>
        </w:rPr>
        <w:t xml:space="preserve"> w Gdańsku</w:t>
      </w:r>
      <w:r w:rsidR="00EE5531" w:rsidRPr="00AD2286">
        <w:rPr>
          <w:rFonts w:cs="Arial"/>
          <w:sz w:val="22"/>
        </w:rPr>
        <w:t xml:space="preserve">. Trybunał </w:t>
      </w:r>
      <w:r w:rsidR="00FE584D">
        <w:rPr>
          <w:rFonts w:cs="Arial"/>
          <w:sz w:val="22"/>
        </w:rPr>
        <w:t xml:space="preserve">- </w:t>
      </w:r>
      <w:r w:rsidR="00EE5531" w:rsidRPr="00AD2286">
        <w:rPr>
          <w:rFonts w:cs="Arial"/>
          <w:sz w:val="22"/>
        </w:rPr>
        <w:t xml:space="preserve">zgodnie z zakresem pytania </w:t>
      </w:r>
      <w:r w:rsidR="00FE584D">
        <w:rPr>
          <w:rFonts w:cs="Arial"/>
          <w:sz w:val="22"/>
        </w:rPr>
        <w:t xml:space="preserve">- </w:t>
      </w:r>
      <w:r w:rsidR="00EE5531" w:rsidRPr="00AD2286">
        <w:rPr>
          <w:rFonts w:cs="Arial"/>
          <w:sz w:val="22"/>
        </w:rPr>
        <w:t xml:space="preserve">odniósł się </w:t>
      </w:r>
      <w:r w:rsidR="00FE584D">
        <w:rPr>
          <w:rFonts w:cs="Arial"/>
          <w:sz w:val="22"/>
        </w:rPr>
        <w:t>jedynie</w:t>
      </w:r>
      <w:r w:rsidR="00EE5531" w:rsidRPr="00AD2286">
        <w:rPr>
          <w:rFonts w:cs="Arial"/>
          <w:sz w:val="22"/>
        </w:rPr>
        <w:t xml:space="preserve"> do tego</w:t>
      </w:r>
      <w:r w:rsidR="00FE584D">
        <w:rPr>
          <w:rFonts w:cs="Arial"/>
          <w:sz w:val="22"/>
        </w:rPr>
        <w:t>,</w:t>
      </w:r>
      <w:r w:rsidR="00EE5531" w:rsidRPr="00AD2286">
        <w:rPr>
          <w:rFonts w:cs="Arial"/>
          <w:sz w:val="22"/>
        </w:rPr>
        <w:t xml:space="preserve"> o czym powinien być poinformowany konsument. </w:t>
      </w:r>
      <w:r>
        <w:rPr>
          <w:rFonts w:cs="Arial"/>
          <w:sz w:val="22"/>
        </w:rPr>
        <w:t xml:space="preserve">Niemniej jednak w oparciu o dotychczasowe orzecznictwo TSUE nie można uznać, że banki mają prawo do dochodzenia wynagrodzenia za korzystanie z kapitału w przypadku upadku </w:t>
      </w:r>
      <w:r w:rsidR="005C2BE9">
        <w:rPr>
          <w:rFonts w:cs="Arial"/>
          <w:sz w:val="22"/>
        </w:rPr>
        <w:t xml:space="preserve">umowy </w:t>
      </w:r>
      <w:r>
        <w:rPr>
          <w:rFonts w:cs="Arial"/>
          <w:sz w:val="22"/>
        </w:rPr>
        <w:t>z winy banku</w:t>
      </w:r>
      <w:r w:rsidR="005C2BE9">
        <w:rPr>
          <w:rFonts w:cs="Arial"/>
          <w:sz w:val="22"/>
        </w:rPr>
        <w:t>, tj.</w:t>
      </w:r>
      <w:r>
        <w:rPr>
          <w:rFonts w:cs="Arial"/>
          <w:sz w:val="22"/>
        </w:rPr>
        <w:t xml:space="preserve"> w związku ze stosowaniem postanowień niedozwolonych.</w:t>
      </w:r>
    </w:p>
    <w:p w14:paraId="72EC5684" w14:textId="77777777" w:rsidR="008C2903" w:rsidRPr="00AD2286" w:rsidRDefault="008C2903" w:rsidP="00AD2286">
      <w:pPr>
        <w:spacing w:line="360" w:lineRule="auto"/>
        <w:ind w:left="360"/>
        <w:jc w:val="both"/>
        <w:rPr>
          <w:rFonts w:cs="Arial"/>
          <w:sz w:val="22"/>
        </w:rPr>
      </w:pPr>
    </w:p>
    <w:bookmarkEnd w:id="0"/>
    <w:p w14:paraId="3D257306" w14:textId="2ED0C2EA" w:rsidR="00EE5531" w:rsidRPr="00EE5531" w:rsidRDefault="00EC1078" w:rsidP="00EE5531">
      <w:pPr>
        <w:spacing w:after="240"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D</w:t>
      </w:r>
      <w:r w:rsidR="00571F69" w:rsidRPr="00571F69">
        <w:rPr>
          <w:rFonts w:cs="Arial"/>
          <w:sz w:val="22"/>
        </w:rPr>
        <w:t xml:space="preserve">zisiejsze orzeczenie TSUE wpłynie na orzecznictwo polskich sądów, zwłaszcza w sprawach frankowych. Kredytobiorcy, banki oraz sędziowie czekają ponadto na rozstrzygnięcie siedmiu sędziów Izby Cywilnej SN (III CZP 6/21, posiedzenia zaplanowano na 7 maja br.) oraz uchwałę pełnego składu Izby Cywilnej SN (sygn. akt III CZP 11/21, posiedzenie wyznaczone na 11 maja br. – </w:t>
      </w:r>
      <w:hyperlink r:id="rId8" w:history="1">
        <w:r w:rsidR="00571F69" w:rsidRPr="00571F69">
          <w:rPr>
            <w:rStyle w:val="Hipercze"/>
            <w:rFonts w:cs="Arial"/>
            <w:sz w:val="22"/>
          </w:rPr>
          <w:t>więcej na ten temat</w:t>
        </w:r>
      </w:hyperlink>
      <w:r w:rsidR="00571F69" w:rsidRPr="00571F69">
        <w:rPr>
          <w:rFonts w:cs="Arial"/>
          <w:sz w:val="22"/>
        </w:rPr>
        <w:t>).</w:t>
      </w:r>
    </w:p>
    <w:p w14:paraId="56855FFE" w14:textId="1CC02174" w:rsidR="00571F69" w:rsidRPr="00571F69" w:rsidRDefault="00571F69" w:rsidP="00571F69">
      <w:pPr>
        <w:spacing w:after="240" w:line="360" w:lineRule="auto"/>
        <w:jc w:val="both"/>
        <w:rPr>
          <w:rFonts w:cs="Arial"/>
          <w:sz w:val="22"/>
        </w:rPr>
      </w:pPr>
      <w:r w:rsidRPr="00571F69">
        <w:rPr>
          <w:rFonts w:cs="Arial"/>
          <w:sz w:val="22"/>
        </w:rPr>
        <w:t xml:space="preserve">– </w:t>
      </w:r>
      <w:r w:rsidRPr="00571F69">
        <w:rPr>
          <w:rFonts w:cs="Arial"/>
          <w:i/>
          <w:sz w:val="22"/>
        </w:rPr>
        <w:t>Wyrok nie jest dla nas zaskoczeniem – przeciwnie, jest zgodny z dotychczasową linią orzeczniczą Trybunału, naszymi przewidywaniami i dotychczasowym stanowiskiem</w:t>
      </w:r>
      <w:r w:rsidR="006C7493">
        <w:rPr>
          <w:rFonts w:cs="Arial"/>
          <w:i/>
          <w:sz w:val="22"/>
        </w:rPr>
        <w:t xml:space="preserve">. To orzeczenie wymaga szerszego spojrzenia, tj. odniesienia go do dotychczasowego orzecznictwa TSUE, a przypomnę, że jest ono </w:t>
      </w:r>
      <w:proofErr w:type="spellStart"/>
      <w:r w:rsidR="006C7493">
        <w:rPr>
          <w:rFonts w:cs="Arial"/>
          <w:i/>
          <w:sz w:val="22"/>
        </w:rPr>
        <w:t>prokonsumenckie</w:t>
      </w:r>
      <w:proofErr w:type="spellEnd"/>
      <w:r w:rsidR="00AD2286">
        <w:rPr>
          <w:rFonts w:cs="Arial"/>
          <w:sz w:val="22"/>
        </w:rPr>
        <w:t xml:space="preserve"> </w:t>
      </w:r>
      <w:r w:rsidRPr="00571F69">
        <w:rPr>
          <w:rFonts w:cs="Arial"/>
          <w:sz w:val="22"/>
        </w:rPr>
        <w:t>– mówi Tomasz Chróstny, Prezes UOKiK.</w:t>
      </w:r>
    </w:p>
    <w:p w14:paraId="6C442188" w14:textId="1E0D26C4" w:rsidR="00571F69" w:rsidRPr="00571F69" w:rsidRDefault="00571F69" w:rsidP="00571F69">
      <w:pPr>
        <w:spacing w:after="240" w:line="360" w:lineRule="auto"/>
        <w:jc w:val="both"/>
        <w:rPr>
          <w:rFonts w:cs="Arial"/>
          <w:b/>
          <w:sz w:val="22"/>
        </w:rPr>
      </w:pPr>
      <w:r w:rsidRPr="00571F69">
        <w:rPr>
          <w:rFonts w:cs="Arial"/>
          <w:b/>
          <w:sz w:val="22"/>
        </w:rPr>
        <w:t>Czego dotyczy sprawa C-19/20 Bank BPH</w:t>
      </w:r>
    </w:p>
    <w:p w14:paraId="0CC75FF6" w14:textId="77777777" w:rsidR="00571F69" w:rsidRPr="00571F69" w:rsidRDefault="00571F69" w:rsidP="00571F69">
      <w:pPr>
        <w:spacing w:after="240" w:line="360" w:lineRule="auto"/>
        <w:jc w:val="both"/>
        <w:rPr>
          <w:rFonts w:cs="Arial"/>
          <w:sz w:val="22"/>
        </w:rPr>
      </w:pPr>
      <w:r w:rsidRPr="00571F69">
        <w:rPr>
          <w:rFonts w:cs="Arial"/>
          <w:sz w:val="22"/>
        </w:rPr>
        <w:t xml:space="preserve">Sprawa C-19/20 Bank BPH dotyczy konsumentów, którzy w 2008 r. zawarli umowę kredytu hipotecznego indeksowanego we frankach szwajcarskich na budowę i wykończenie domu. Kredyt podlegał wypłacie w złotówkach, zgodnie z kursem ustalonym przez bank na dzień wypłaty, a spłata miała nastąpić w 360 ratach, także przeliczonych na złotówki według kursu wskazanego przez bank. W umowie nie wyjaśniono jednak sposobu ustalania marży banku, a ponadto bank nie zgadzał się na spłatę kredytu we frankach. </w:t>
      </w:r>
    </w:p>
    <w:p w14:paraId="722E83BD" w14:textId="57B91617" w:rsidR="00571F69" w:rsidRPr="00355E7B" w:rsidRDefault="00571F69" w:rsidP="00571F69">
      <w:pPr>
        <w:spacing w:after="240" w:line="360" w:lineRule="auto"/>
        <w:jc w:val="both"/>
        <w:rPr>
          <w:rFonts w:cs="Arial"/>
          <w:sz w:val="22"/>
        </w:rPr>
      </w:pPr>
      <w:r w:rsidRPr="00571F69">
        <w:rPr>
          <w:rFonts w:cs="Arial"/>
          <w:sz w:val="22"/>
        </w:rPr>
        <w:t>Powodowie domagają się m.in. stwierdzenia nieważności całej umowy z uwagi na nieuczciwy charakter klauzul umownych dotyczących indeksacji, a także zwrotu przez bank wszystkich uiszczonych na rzecz banku, do dnia wniesienia pozwu, rat kapitałowo-odsetkowych i opłat. Z kolei bank twierdzi, że klauzule indeksacyjne nie mają nieuczciwego charakteru, a ponadto powołuje się na zarzut przedawnienia roszczeń restytucyjnych i domaga oddalenia powództwa.</w:t>
      </w:r>
    </w:p>
    <w:sectPr w:rsidR="00571F69" w:rsidRPr="00355E7B" w:rsidSect="006C7493">
      <w:headerReference w:type="default" r:id="rId9"/>
      <w:footerReference w:type="default" r:id="rId10"/>
      <w:pgSz w:w="11906" w:h="16838"/>
      <w:pgMar w:top="1843" w:right="1417" w:bottom="1702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E2823" w14:textId="77777777" w:rsidR="00572D93" w:rsidRDefault="00572D93">
      <w:r>
        <w:separator/>
      </w:r>
    </w:p>
  </w:endnote>
  <w:endnote w:type="continuationSeparator" w:id="0">
    <w:p w14:paraId="4C7411F1" w14:textId="77777777" w:rsidR="00572D93" w:rsidRDefault="0057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5B62A" w14:textId="77777777" w:rsidR="00572D93" w:rsidRDefault="00572D93">
      <w:r>
        <w:separator/>
      </w:r>
    </w:p>
  </w:footnote>
  <w:footnote w:type="continuationSeparator" w:id="0">
    <w:p w14:paraId="4C01AEBD" w14:textId="77777777" w:rsidR="00572D93" w:rsidRDefault="0057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B16AF"/>
    <w:multiLevelType w:val="hybridMultilevel"/>
    <w:tmpl w:val="E84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43921"/>
    <w:multiLevelType w:val="hybridMultilevel"/>
    <w:tmpl w:val="52589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E4E4B"/>
    <w:multiLevelType w:val="hybridMultilevel"/>
    <w:tmpl w:val="D6D8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D0722"/>
    <w:multiLevelType w:val="hybridMultilevel"/>
    <w:tmpl w:val="36FCAD0C"/>
    <w:lvl w:ilvl="0" w:tplc="DF88E6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10183"/>
    <w:multiLevelType w:val="hybridMultilevel"/>
    <w:tmpl w:val="7FE6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4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12"/>
  </w:num>
  <w:num w:numId="14">
    <w:abstractNumId w:val="2"/>
  </w:num>
  <w:num w:numId="15">
    <w:abstractNumId w:val="15"/>
  </w:num>
  <w:num w:numId="16">
    <w:abstractNumId w:val="3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32DB"/>
    <w:rsid w:val="00023634"/>
    <w:rsid w:val="0002523D"/>
    <w:rsid w:val="00031439"/>
    <w:rsid w:val="00042F96"/>
    <w:rsid w:val="0005475A"/>
    <w:rsid w:val="000628EA"/>
    <w:rsid w:val="00062A85"/>
    <w:rsid w:val="000651E9"/>
    <w:rsid w:val="00066C31"/>
    <w:rsid w:val="00073AA7"/>
    <w:rsid w:val="000833F4"/>
    <w:rsid w:val="00090B57"/>
    <w:rsid w:val="000A0163"/>
    <w:rsid w:val="000A74FA"/>
    <w:rsid w:val="000B11F1"/>
    <w:rsid w:val="000B149D"/>
    <w:rsid w:val="000B1AC5"/>
    <w:rsid w:val="000B7247"/>
    <w:rsid w:val="000B7325"/>
    <w:rsid w:val="000C08B8"/>
    <w:rsid w:val="000C3ED9"/>
    <w:rsid w:val="000D0188"/>
    <w:rsid w:val="000D35F8"/>
    <w:rsid w:val="000E0FCC"/>
    <w:rsid w:val="000E5B95"/>
    <w:rsid w:val="000F6AA3"/>
    <w:rsid w:val="00102ADB"/>
    <w:rsid w:val="0010559C"/>
    <w:rsid w:val="00105D58"/>
    <w:rsid w:val="00107844"/>
    <w:rsid w:val="00120FBD"/>
    <w:rsid w:val="0012424D"/>
    <w:rsid w:val="0013159A"/>
    <w:rsid w:val="00135455"/>
    <w:rsid w:val="00143310"/>
    <w:rsid w:val="00144138"/>
    <w:rsid w:val="00144E9C"/>
    <w:rsid w:val="00145E2E"/>
    <w:rsid w:val="00152247"/>
    <w:rsid w:val="00161094"/>
    <w:rsid w:val="00163DF9"/>
    <w:rsid w:val="001666D6"/>
    <w:rsid w:val="00166B5D"/>
    <w:rsid w:val="001675EF"/>
    <w:rsid w:val="0017028A"/>
    <w:rsid w:val="00190D5A"/>
    <w:rsid w:val="001927A3"/>
    <w:rsid w:val="001979B5"/>
    <w:rsid w:val="001A5261"/>
    <w:rsid w:val="001A5F7C"/>
    <w:rsid w:val="001A6E5B"/>
    <w:rsid w:val="001A7451"/>
    <w:rsid w:val="001C1FAD"/>
    <w:rsid w:val="001D1B67"/>
    <w:rsid w:val="001E188E"/>
    <w:rsid w:val="001E4F92"/>
    <w:rsid w:val="001F026C"/>
    <w:rsid w:val="001F227E"/>
    <w:rsid w:val="001F2604"/>
    <w:rsid w:val="001F4A73"/>
    <w:rsid w:val="001F6427"/>
    <w:rsid w:val="0020219C"/>
    <w:rsid w:val="00205580"/>
    <w:rsid w:val="002157BB"/>
    <w:rsid w:val="00216DD4"/>
    <w:rsid w:val="00217B34"/>
    <w:rsid w:val="002262B5"/>
    <w:rsid w:val="0023138D"/>
    <w:rsid w:val="0023641A"/>
    <w:rsid w:val="00236C7E"/>
    <w:rsid w:val="00236CE6"/>
    <w:rsid w:val="00240013"/>
    <w:rsid w:val="0024118E"/>
    <w:rsid w:val="00241BAC"/>
    <w:rsid w:val="00260382"/>
    <w:rsid w:val="00262988"/>
    <w:rsid w:val="00266281"/>
    <w:rsid w:val="00266CB4"/>
    <w:rsid w:val="00267DD1"/>
    <w:rsid w:val="00271087"/>
    <w:rsid w:val="002801AA"/>
    <w:rsid w:val="00280E89"/>
    <w:rsid w:val="00287AAE"/>
    <w:rsid w:val="00295B34"/>
    <w:rsid w:val="002A00FA"/>
    <w:rsid w:val="002A0345"/>
    <w:rsid w:val="002A28F8"/>
    <w:rsid w:val="002A3127"/>
    <w:rsid w:val="002A415E"/>
    <w:rsid w:val="002A47A1"/>
    <w:rsid w:val="002A5D69"/>
    <w:rsid w:val="002A64CB"/>
    <w:rsid w:val="002B1DBF"/>
    <w:rsid w:val="002B3A4D"/>
    <w:rsid w:val="002C0D5D"/>
    <w:rsid w:val="002C39C2"/>
    <w:rsid w:val="002C692D"/>
    <w:rsid w:val="002C6ABE"/>
    <w:rsid w:val="002D3643"/>
    <w:rsid w:val="002D5D1C"/>
    <w:rsid w:val="002E388C"/>
    <w:rsid w:val="002F1BF3"/>
    <w:rsid w:val="002F2283"/>
    <w:rsid w:val="002F4D43"/>
    <w:rsid w:val="00301C42"/>
    <w:rsid w:val="003056C6"/>
    <w:rsid w:val="003107F5"/>
    <w:rsid w:val="00311B14"/>
    <w:rsid w:val="00324306"/>
    <w:rsid w:val="003278D6"/>
    <w:rsid w:val="00327ECD"/>
    <w:rsid w:val="003303F0"/>
    <w:rsid w:val="00332CF0"/>
    <w:rsid w:val="0034059B"/>
    <w:rsid w:val="0034262E"/>
    <w:rsid w:val="00346816"/>
    <w:rsid w:val="00347F95"/>
    <w:rsid w:val="0035019C"/>
    <w:rsid w:val="003515E0"/>
    <w:rsid w:val="00355560"/>
    <w:rsid w:val="00355E7B"/>
    <w:rsid w:val="00360248"/>
    <w:rsid w:val="00366A46"/>
    <w:rsid w:val="0037248C"/>
    <w:rsid w:val="00377A0D"/>
    <w:rsid w:val="003824C7"/>
    <w:rsid w:val="00386284"/>
    <w:rsid w:val="0038677D"/>
    <w:rsid w:val="003A71C7"/>
    <w:rsid w:val="003C4314"/>
    <w:rsid w:val="003C6384"/>
    <w:rsid w:val="003C6E36"/>
    <w:rsid w:val="003D3FF4"/>
    <w:rsid w:val="003D4CB5"/>
    <w:rsid w:val="003D657A"/>
    <w:rsid w:val="003D7161"/>
    <w:rsid w:val="003E3F9D"/>
    <w:rsid w:val="003E69E5"/>
    <w:rsid w:val="003F7FD6"/>
    <w:rsid w:val="00404F30"/>
    <w:rsid w:val="0040748E"/>
    <w:rsid w:val="00412206"/>
    <w:rsid w:val="004252AC"/>
    <w:rsid w:val="00427E08"/>
    <w:rsid w:val="004349BA"/>
    <w:rsid w:val="0043575C"/>
    <w:rsid w:val="004365C7"/>
    <w:rsid w:val="00436B6C"/>
    <w:rsid w:val="004424CB"/>
    <w:rsid w:val="004425B7"/>
    <w:rsid w:val="00444A85"/>
    <w:rsid w:val="004570C7"/>
    <w:rsid w:val="00460FE3"/>
    <w:rsid w:val="00462CFA"/>
    <w:rsid w:val="004649E8"/>
    <w:rsid w:val="00482949"/>
    <w:rsid w:val="00486AF5"/>
    <w:rsid w:val="00486DB1"/>
    <w:rsid w:val="00493E10"/>
    <w:rsid w:val="00495097"/>
    <w:rsid w:val="004972E8"/>
    <w:rsid w:val="00497F3E"/>
    <w:rsid w:val="004A320C"/>
    <w:rsid w:val="004A4814"/>
    <w:rsid w:val="004B09BD"/>
    <w:rsid w:val="004B1408"/>
    <w:rsid w:val="004B7FD6"/>
    <w:rsid w:val="004C0F9E"/>
    <w:rsid w:val="004C1243"/>
    <w:rsid w:val="004C51D4"/>
    <w:rsid w:val="004C586A"/>
    <w:rsid w:val="004C5C26"/>
    <w:rsid w:val="004D0AD9"/>
    <w:rsid w:val="004D2141"/>
    <w:rsid w:val="004E0698"/>
    <w:rsid w:val="004F37B1"/>
    <w:rsid w:val="004F7E99"/>
    <w:rsid w:val="005003F9"/>
    <w:rsid w:val="0050417B"/>
    <w:rsid w:val="00504A98"/>
    <w:rsid w:val="005133CE"/>
    <w:rsid w:val="00521BA3"/>
    <w:rsid w:val="00523E0D"/>
    <w:rsid w:val="00525588"/>
    <w:rsid w:val="0052710E"/>
    <w:rsid w:val="00530782"/>
    <w:rsid w:val="005442FC"/>
    <w:rsid w:val="0055631D"/>
    <w:rsid w:val="00565244"/>
    <w:rsid w:val="00565760"/>
    <w:rsid w:val="00567790"/>
    <w:rsid w:val="00571F69"/>
    <w:rsid w:val="00572D93"/>
    <w:rsid w:val="0057605C"/>
    <w:rsid w:val="00593935"/>
    <w:rsid w:val="00595241"/>
    <w:rsid w:val="005973FD"/>
    <w:rsid w:val="00597C68"/>
    <w:rsid w:val="005A382B"/>
    <w:rsid w:val="005A4047"/>
    <w:rsid w:val="005B32A3"/>
    <w:rsid w:val="005C0D39"/>
    <w:rsid w:val="005C2BE9"/>
    <w:rsid w:val="005C5828"/>
    <w:rsid w:val="005C6232"/>
    <w:rsid w:val="005D4C62"/>
    <w:rsid w:val="005D6F7A"/>
    <w:rsid w:val="005D7A83"/>
    <w:rsid w:val="005E0DCB"/>
    <w:rsid w:val="005E26BC"/>
    <w:rsid w:val="005E5B88"/>
    <w:rsid w:val="005E73E0"/>
    <w:rsid w:val="005E78EE"/>
    <w:rsid w:val="005F139F"/>
    <w:rsid w:val="005F1EBD"/>
    <w:rsid w:val="0060045D"/>
    <w:rsid w:val="006008FB"/>
    <w:rsid w:val="006016FB"/>
    <w:rsid w:val="006063D0"/>
    <w:rsid w:val="00613C45"/>
    <w:rsid w:val="00615A6C"/>
    <w:rsid w:val="00623664"/>
    <w:rsid w:val="006253FD"/>
    <w:rsid w:val="00626BB4"/>
    <w:rsid w:val="0063316E"/>
    <w:rsid w:val="00633D4E"/>
    <w:rsid w:val="0063526F"/>
    <w:rsid w:val="00637E86"/>
    <w:rsid w:val="006422DE"/>
    <w:rsid w:val="006439FA"/>
    <w:rsid w:val="00647521"/>
    <w:rsid w:val="00665264"/>
    <w:rsid w:val="0067485D"/>
    <w:rsid w:val="006A2065"/>
    <w:rsid w:val="006A20F0"/>
    <w:rsid w:val="006A3D88"/>
    <w:rsid w:val="006A4A7A"/>
    <w:rsid w:val="006B0848"/>
    <w:rsid w:val="006B0D54"/>
    <w:rsid w:val="006B733D"/>
    <w:rsid w:val="006B73E2"/>
    <w:rsid w:val="006C34AE"/>
    <w:rsid w:val="006C67AF"/>
    <w:rsid w:val="006C7493"/>
    <w:rsid w:val="006D1E7D"/>
    <w:rsid w:val="006D3DC5"/>
    <w:rsid w:val="006F143B"/>
    <w:rsid w:val="007039EC"/>
    <w:rsid w:val="00706A51"/>
    <w:rsid w:val="0071572D"/>
    <w:rsid w:val="007157BA"/>
    <w:rsid w:val="007159BF"/>
    <w:rsid w:val="007169F9"/>
    <w:rsid w:val="007174A6"/>
    <w:rsid w:val="007224B3"/>
    <w:rsid w:val="00731303"/>
    <w:rsid w:val="00735841"/>
    <w:rsid w:val="00736E6A"/>
    <w:rsid w:val="007402E0"/>
    <w:rsid w:val="0074489D"/>
    <w:rsid w:val="00746549"/>
    <w:rsid w:val="007514AD"/>
    <w:rsid w:val="0075524D"/>
    <w:rsid w:val="007560B0"/>
    <w:rsid w:val="007627D7"/>
    <w:rsid w:val="00764E8E"/>
    <w:rsid w:val="00771995"/>
    <w:rsid w:val="007746DC"/>
    <w:rsid w:val="00776C4F"/>
    <w:rsid w:val="007838E4"/>
    <w:rsid w:val="007846DC"/>
    <w:rsid w:val="007A19D8"/>
    <w:rsid w:val="007B4F49"/>
    <w:rsid w:val="007B6276"/>
    <w:rsid w:val="007C297F"/>
    <w:rsid w:val="007D371B"/>
    <w:rsid w:val="007D435C"/>
    <w:rsid w:val="007D6592"/>
    <w:rsid w:val="007E36E4"/>
    <w:rsid w:val="007F0ACE"/>
    <w:rsid w:val="007F7C31"/>
    <w:rsid w:val="00800F0E"/>
    <w:rsid w:val="00804024"/>
    <w:rsid w:val="00805B7A"/>
    <w:rsid w:val="00812939"/>
    <w:rsid w:val="00814A13"/>
    <w:rsid w:val="00815D4B"/>
    <w:rsid w:val="0081753E"/>
    <w:rsid w:val="00845778"/>
    <w:rsid w:val="0085010E"/>
    <w:rsid w:val="0085454F"/>
    <w:rsid w:val="00854C32"/>
    <w:rsid w:val="00856032"/>
    <w:rsid w:val="0087354F"/>
    <w:rsid w:val="00896985"/>
    <w:rsid w:val="008A05FA"/>
    <w:rsid w:val="008A2EDB"/>
    <w:rsid w:val="008B0B67"/>
    <w:rsid w:val="008C0BB7"/>
    <w:rsid w:val="008C2903"/>
    <w:rsid w:val="008C53D0"/>
    <w:rsid w:val="008D527A"/>
    <w:rsid w:val="008D56DA"/>
    <w:rsid w:val="008D5771"/>
    <w:rsid w:val="008E4588"/>
    <w:rsid w:val="008F472E"/>
    <w:rsid w:val="00902556"/>
    <w:rsid w:val="00902D8B"/>
    <w:rsid w:val="0090338C"/>
    <w:rsid w:val="009066AC"/>
    <w:rsid w:val="0091048E"/>
    <w:rsid w:val="009150E2"/>
    <w:rsid w:val="00915501"/>
    <w:rsid w:val="00924ABC"/>
    <w:rsid w:val="00934BFE"/>
    <w:rsid w:val="00940E8F"/>
    <w:rsid w:val="00941586"/>
    <w:rsid w:val="00950A62"/>
    <w:rsid w:val="0095309C"/>
    <w:rsid w:val="00955CDC"/>
    <w:rsid w:val="00961BC1"/>
    <w:rsid w:val="009652F2"/>
    <w:rsid w:val="009719ED"/>
    <w:rsid w:val="00972F99"/>
    <w:rsid w:val="0097550F"/>
    <w:rsid w:val="00980F56"/>
    <w:rsid w:val="00982A60"/>
    <w:rsid w:val="00983D7C"/>
    <w:rsid w:val="00986C37"/>
    <w:rsid w:val="00990037"/>
    <w:rsid w:val="00996BA4"/>
    <w:rsid w:val="00997528"/>
    <w:rsid w:val="0099796A"/>
    <w:rsid w:val="009A21D2"/>
    <w:rsid w:val="009A366B"/>
    <w:rsid w:val="009A38AA"/>
    <w:rsid w:val="009A76A6"/>
    <w:rsid w:val="009C1346"/>
    <w:rsid w:val="009C4389"/>
    <w:rsid w:val="009D05C8"/>
    <w:rsid w:val="009D6FD3"/>
    <w:rsid w:val="009E2145"/>
    <w:rsid w:val="009E3C0B"/>
    <w:rsid w:val="009E5BDB"/>
    <w:rsid w:val="009E7C77"/>
    <w:rsid w:val="009F484C"/>
    <w:rsid w:val="009F511C"/>
    <w:rsid w:val="009F6749"/>
    <w:rsid w:val="00A030C8"/>
    <w:rsid w:val="00A07017"/>
    <w:rsid w:val="00A10D80"/>
    <w:rsid w:val="00A13244"/>
    <w:rsid w:val="00A14123"/>
    <w:rsid w:val="00A239AA"/>
    <w:rsid w:val="00A27FAC"/>
    <w:rsid w:val="00A34922"/>
    <w:rsid w:val="00A37362"/>
    <w:rsid w:val="00A439E8"/>
    <w:rsid w:val="00A45753"/>
    <w:rsid w:val="00A51BCF"/>
    <w:rsid w:val="00A53423"/>
    <w:rsid w:val="00A54CA1"/>
    <w:rsid w:val="00A57F21"/>
    <w:rsid w:val="00A62659"/>
    <w:rsid w:val="00A65F20"/>
    <w:rsid w:val="00A76293"/>
    <w:rsid w:val="00A77DA2"/>
    <w:rsid w:val="00A85D9D"/>
    <w:rsid w:val="00A8601C"/>
    <w:rsid w:val="00A90286"/>
    <w:rsid w:val="00A9172C"/>
    <w:rsid w:val="00A92C4C"/>
    <w:rsid w:val="00A94421"/>
    <w:rsid w:val="00AA602D"/>
    <w:rsid w:val="00AB1022"/>
    <w:rsid w:val="00AB414B"/>
    <w:rsid w:val="00AB572D"/>
    <w:rsid w:val="00AC486E"/>
    <w:rsid w:val="00AD2286"/>
    <w:rsid w:val="00AD513A"/>
    <w:rsid w:val="00AD6C68"/>
    <w:rsid w:val="00AE1363"/>
    <w:rsid w:val="00AE2923"/>
    <w:rsid w:val="00AE66CE"/>
    <w:rsid w:val="00AE7F9D"/>
    <w:rsid w:val="00AF01E8"/>
    <w:rsid w:val="00AF1794"/>
    <w:rsid w:val="00B028F7"/>
    <w:rsid w:val="00B0348F"/>
    <w:rsid w:val="00B2200C"/>
    <w:rsid w:val="00B22863"/>
    <w:rsid w:val="00B27DB7"/>
    <w:rsid w:val="00B31945"/>
    <w:rsid w:val="00B41502"/>
    <w:rsid w:val="00B444A1"/>
    <w:rsid w:val="00B51024"/>
    <w:rsid w:val="00B512B5"/>
    <w:rsid w:val="00B55564"/>
    <w:rsid w:val="00B60CD8"/>
    <w:rsid w:val="00B60F56"/>
    <w:rsid w:val="00B60F9C"/>
    <w:rsid w:val="00B6396B"/>
    <w:rsid w:val="00B66C38"/>
    <w:rsid w:val="00B6769E"/>
    <w:rsid w:val="00B70110"/>
    <w:rsid w:val="00B708CB"/>
    <w:rsid w:val="00B73F22"/>
    <w:rsid w:val="00B76F9A"/>
    <w:rsid w:val="00B810B2"/>
    <w:rsid w:val="00B836F3"/>
    <w:rsid w:val="00B8439D"/>
    <w:rsid w:val="00B84A9B"/>
    <w:rsid w:val="00B90532"/>
    <w:rsid w:val="00BA26F7"/>
    <w:rsid w:val="00BA79F0"/>
    <w:rsid w:val="00BA7BCF"/>
    <w:rsid w:val="00BB24CE"/>
    <w:rsid w:val="00BB5068"/>
    <w:rsid w:val="00BB7AE8"/>
    <w:rsid w:val="00BD0481"/>
    <w:rsid w:val="00BD4447"/>
    <w:rsid w:val="00BE2623"/>
    <w:rsid w:val="00BE2F6E"/>
    <w:rsid w:val="00BE3923"/>
    <w:rsid w:val="00BE4BF0"/>
    <w:rsid w:val="00BE5EE5"/>
    <w:rsid w:val="00BE68EE"/>
    <w:rsid w:val="00BE7F63"/>
    <w:rsid w:val="00BF45FB"/>
    <w:rsid w:val="00BF4D10"/>
    <w:rsid w:val="00BF76B6"/>
    <w:rsid w:val="00C0369D"/>
    <w:rsid w:val="00C11C53"/>
    <w:rsid w:val="00C123B1"/>
    <w:rsid w:val="00C1790E"/>
    <w:rsid w:val="00C17F67"/>
    <w:rsid w:val="00C21071"/>
    <w:rsid w:val="00C2398C"/>
    <w:rsid w:val="00C25569"/>
    <w:rsid w:val="00C27366"/>
    <w:rsid w:val="00C31E02"/>
    <w:rsid w:val="00C32D61"/>
    <w:rsid w:val="00C34D66"/>
    <w:rsid w:val="00C3606C"/>
    <w:rsid w:val="00C63AA8"/>
    <w:rsid w:val="00C65EBC"/>
    <w:rsid w:val="00C7783C"/>
    <w:rsid w:val="00C81210"/>
    <w:rsid w:val="00C84231"/>
    <w:rsid w:val="00C8490B"/>
    <w:rsid w:val="00C94B02"/>
    <w:rsid w:val="00CA1461"/>
    <w:rsid w:val="00CA4A00"/>
    <w:rsid w:val="00CA6B58"/>
    <w:rsid w:val="00CA7086"/>
    <w:rsid w:val="00CB1AE6"/>
    <w:rsid w:val="00CB2ED8"/>
    <w:rsid w:val="00CB3ED4"/>
    <w:rsid w:val="00CB3F86"/>
    <w:rsid w:val="00CD34F0"/>
    <w:rsid w:val="00CE0954"/>
    <w:rsid w:val="00CE25BD"/>
    <w:rsid w:val="00CF11F7"/>
    <w:rsid w:val="00CF5CE1"/>
    <w:rsid w:val="00D01E41"/>
    <w:rsid w:val="00D04888"/>
    <w:rsid w:val="00D1323F"/>
    <w:rsid w:val="00D14852"/>
    <w:rsid w:val="00D178CF"/>
    <w:rsid w:val="00D202BA"/>
    <w:rsid w:val="00D20EFB"/>
    <w:rsid w:val="00D251AC"/>
    <w:rsid w:val="00D31331"/>
    <w:rsid w:val="00D31BF9"/>
    <w:rsid w:val="00D40D72"/>
    <w:rsid w:val="00D43766"/>
    <w:rsid w:val="00D47CCF"/>
    <w:rsid w:val="00D50279"/>
    <w:rsid w:val="00D525D6"/>
    <w:rsid w:val="00D53F71"/>
    <w:rsid w:val="00D60893"/>
    <w:rsid w:val="00D6457B"/>
    <w:rsid w:val="00D66DEC"/>
    <w:rsid w:val="00D71A41"/>
    <w:rsid w:val="00D72E3C"/>
    <w:rsid w:val="00D768A4"/>
    <w:rsid w:val="00D921B7"/>
    <w:rsid w:val="00D92F52"/>
    <w:rsid w:val="00D94562"/>
    <w:rsid w:val="00DA41C4"/>
    <w:rsid w:val="00DA5661"/>
    <w:rsid w:val="00DA753F"/>
    <w:rsid w:val="00DA7D51"/>
    <w:rsid w:val="00DC182C"/>
    <w:rsid w:val="00DC5754"/>
    <w:rsid w:val="00DD04C3"/>
    <w:rsid w:val="00DD34A3"/>
    <w:rsid w:val="00DD6056"/>
    <w:rsid w:val="00DD6BDA"/>
    <w:rsid w:val="00DE7C6A"/>
    <w:rsid w:val="00DF2857"/>
    <w:rsid w:val="00DF782B"/>
    <w:rsid w:val="00DF7B93"/>
    <w:rsid w:val="00E03AEF"/>
    <w:rsid w:val="00E04910"/>
    <w:rsid w:val="00E102DE"/>
    <w:rsid w:val="00E24825"/>
    <w:rsid w:val="00E3032C"/>
    <w:rsid w:val="00E350FD"/>
    <w:rsid w:val="00E41A87"/>
    <w:rsid w:val="00E42093"/>
    <w:rsid w:val="00E509E6"/>
    <w:rsid w:val="00E522AD"/>
    <w:rsid w:val="00E64103"/>
    <w:rsid w:val="00E71F4A"/>
    <w:rsid w:val="00E73FC2"/>
    <w:rsid w:val="00E74719"/>
    <w:rsid w:val="00E76CD1"/>
    <w:rsid w:val="00E827F2"/>
    <w:rsid w:val="00EA1A5B"/>
    <w:rsid w:val="00EA61F9"/>
    <w:rsid w:val="00EB4CF6"/>
    <w:rsid w:val="00EB685B"/>
    <w:rsid w:val="00EC1078"/>
    <w:rsid w:val="00EC4ECD"/>
    <w:rsid w:val="00ED41AF"/>
    <w:rsid w:val="00EE4AD8"/>
    <w:rsid w:val="00EE5531"/>
    <w:rsid w:val="00F01258"/>
    <w:rsid w:val="00F139AC"/>
    <w:rsid w:val="00F14A02"/>
    <w:rsid w:val="00F21EAC"/>
    <w:rsid w:val="00F26D6F"/>
    <w:rsid w:val="00F3243D"/>
    <w:rsid w:val="00F376EE"/>
    <w:rsid w:val="00F423F8"/>
    <w:rsid w:val="00F46D0D"/>
    <w:rsid w:val="00F51316"/>
    <w:rsid w:val="00F63C16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D09D8"/>
    <w:rsid w:val="00FD4D30"/>
    <w:rsid w:val="00FE584D"/>
    <w:rsid w:val="00FF00F8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A312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C34D6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EE55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72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71DE-81BA-45CC-909E-3A7DAD0C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5515</cp:lastModifiedBy>
  <cp:revision>4</cp:revision>
  <cp:lastPrinted>2019-03-06T14:11:00Z</cp:lastPrinted>
  <dcterms:created xsi:type="dcterms:W3CDTF">2021-04-29T11:42:00Z</dcterms:created>
  <dcterms:modified xsi:type="dcterms:W3CDTF">2021-04-29T11:57:00Z</dcterms:modified>
</cp:coreProperties>
</file>